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EE969" w14:textId="76D03B2C" w:rsidR="00C23BE5" w:rsidRDefault="00D5264F" w:rsidP="00C23BE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A0A9F" wp14:editId="5D431ACE">
                <wp:simplePos x="0" y="0"/>
                <wp:positionH relativeFrom="column">
                  <wp:posOffset>-47625</wp:posOffset>
                </wp:positionH>
                <wp:positionV relativeFrom="paragraph">
                  <wp:posOffset>116840</wp:posOffset>
                </wp:positionV>
                <wp:extent cx="4343400" cy="823404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23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256305F6" w14:textId="77777777" w:rsidR="00D5264F" w:rsidRPr="00D5264F" w:rsidRDefault="00D5264F" w:rsidP="00D5264F">
                            <w:pPr>
                              <w:pStyle w:val="PIDachzeile"/>
                              <w:tabs>
                                <w:tab w:val="left" w:pos="5580"/>
                              </w:tabs>
                              <w:ind w:right="31"/>
                            </w:pPr>
                            <w:r w:rsidRPr="00D5264F">
                              <w:rPr>
                                <w:noProof/>
                              </w:rPr>
                              <w:t>R</w:t>
                            </w:r>
                            <w:bookmarkStart w:id="0" w:name="_GoBack"/>
                            <w:r w:rsidRPr="00D5264F">
                              <w:rPr>
                                <w:noProof/>
                              </w:rPr>
                              <w:t xml:space="preserve">ittal tritt Open19 Foundation bei </w:t>
                            </w:r>
                          </w:p>
                          <w:p w14:paraId="62E87E2A" w14:textId="77777777" w:rsidR="00D5264F" w:rsidRPr="00943D4A" w:rsidRDefault="00D5264F" w:rsidP="00D5264F">
                            <w:pPr>
                              <w:pStyle w:val="PIberschrift"/>
                              <w:ind w:right="-2"/>
                            </w:pPr>
                            <w:r>
                              <w:rPr>
                                <w:u w:color="FF0000"/>
                              </w:rPr>
                              <w:t>Rittal treibt standardisierte Open Rack-Technologie voran</w:t>
                            </w:r>
                          </w:p>
                          <w:p w14:paraId="0C3CFC42" w14:textId="77777777" w:rsidR="00D5264F" w:rsidRPr="00DF62EE" w:rsidRDefault="00D5264F" w:rsidP="00D5264F">
                            <w:pPr>
                              <w:pStyle w:val="PIFlietext"/>
                              <w:ind w:right="-2"/>
                              <w:rPr>
                                <w:b/>
                                <w:bCs/>
                                <w:u w:color="FF0000"/>
                              </w:rPr>
                            </w:pPr>
                            <w:r w:rsidRPr="00943D4A">
                              <w:rPr>
                                <w:b/>
                                <w:bCs/>
                                <w:u w:color="FF0000"/>
                              </w:rPr>
                              <w:t xml:space="preserve">Mit über drei Prozent des globalen Stromverbrauchs </w:t>
                            </w:r>
                            <w:r>
                              <w:rPr>
                                <w:b/>
                                <w:bCs/>
                                <w:u w:color="FF0000"/>
                              </w:rPr>
                              <w:t xml:space="preserve">sind Datacenter ein bedeutender Treiber für den Energieverbrauch. Dieser Entwicklung begegnet die jüngst gegründete Open19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color="FF0000"/>
                              </w:rPr>
                              <w:t>Foundation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color="FF0000"/>
                              </w:rPr>
                              <w:t xml:space="preserve"> mit einem neuen Konzept: Standardisierte, modulare IT-Infrastrukturen sorgen für mehr Effizienz, weniger Kosten und größere Flexibilität im Datacenter.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Rittal ist nun Mitglied der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Foundation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um g</w:t>
                            </w:r>
                            <w:r>
                              <w:rPr>
                                <w:b/>
                                <w:bCs/>
                                <w:u w:color="FF0000"/>
                              </w:rPr>
                              <w:t xml:space="preserve">emeinsam mit weiteren Vertretern den </w:t>
                            </w:r>
                            <w:r>
                              <w:rPr>
                                <w:b/>
                                <w:bCs/>
                              </w:rPr>
                              <w:t>innovativen Ansatz voranzutreiben.</w:t>
                            </w:r>
                          </w:p>
                          <w:p w14:paraId="1AA63224" w14:textId="4941E8E0" w:rsidR="00D5264F" w:rsidRDefault="00D5264F" w:rsidP="00D5264F">
                            <w:pPr>
                              <w:pStyle w:val="PIFlietext"/>
                              <w:ind w:right="-2"/>
                              <w:rPr>
                                <w:color w:val="000000"/>
                              </w:rPr>
                            </w:pPr>
                            <w:r w:rsidRPr="00D269A8">
                              <w:t xml:space="preserve">Rittal, der größte Rack-Produzent der Welt, ist der Open19 </w:t>
                            </w:r>
                            <w:proofErr w:type="spellStart"/>
                            <w:r w:rsidRPr="00D269A8">
                              <w:t>Foundation</w:t>
                            </w:r>
                            <w:proofErr w:type="spellEnd"/>
                            <w:r w:rsidRPr="00D269A8">
                              <w:t xml:space="preserve"> beigetreten. Getrieben von der Microsoft-Tochter LinkedIn und </w:t>
                            </w:r>
                            <w:r>
                              <w:t xml:space="preserve">globalen Anbietern, wie </w:t>
                            </w:r>
                            <w:r w:rsidRPr="00D269A8">
                              <w:t xml:space="preserve">HPE </w:t>
                            </w:r>
                            <w:r>
                              <w:t xml:space="preserve">und GE Digital, </w:t>
                            </w:r>
                            <w:r w:rsidRPr="00D269A8">
                              <w:t xml:space="preserve">wurde diese im Mai 2017 mit dem Ziel ins Leben gerufen, Datacenter kostengünstiger, effizienter und flexibler zu gestalten. Dafür setzt das Open Source-Design auf eine standardisierte </w:t>
                            </w:r>
                            <w:r>
                              <w:rPr>
                                <w:color w:val="000000"/>
                              </w:rPr>
                              <w:t>Architektur für Computer- und Storage-Komponenten im gängigen 19-Zoll-Rack, bei der die Komponenten unterschiedlicher Hersteller miteinander kompatibel sind.</w:t>
                            </w:r>
                          </w:p>
                          <w:p w14:paraId="74DE5176" w14:textId="77777777" w:rsidR="00D5264F" w:rsidRDefault="00D5264F" w:rsidP="00D5264F">
                            <w:pPr>
                              <w:pStyle w:val="PIFlietext"/>
                              <w:ind w:right="-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„Aufgrund der steigenden Energiekosten nutzen wir alle Möglichkeiten für mehr Energieeffizienz zugunsten unserer Kunden. Dies unterstreichen wir mit unserem Beitritt in die Open19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Foundation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in der wir aktiv innovative Rack-</w:t>
                            </w:r>
                            <w:r w:rsidRPr="00293A6D">
                              <w:rPr>
                                <w:color w:val="000000"/>
                              </w:rPr>
                              <w:t xml:space="preserve">Architekturen </w:t>
                            </w:r>
                            <w:r>
                              <w:rPr>
                                <w:color w:val="000000"/>
                              </w:rPr>
                              <w:t>mitgestalten.“</w:t>
                            </w:r>
                            <w:r>
                              <w:t xml:space="preserve">, </w:t>
                            </w:r>
                            <w:r w:rsidRPr="00293A6D">
                              <w:rPr>
                                <w:color w:val="000000"/>
                              </w:rPr>
                              <w:t xml:space="preserve">sagt Jason </w:t>
                            </w:r>
                            <w:proofErr w:type="spellStart"/>
                            <w:r w:rsidRPr="00293A6D">
                              <w:rPr>
                                <w:color w:val="000000"/>
                              </w:rPr>
                              <w:t>Rylands</w:t>
                            </w:r>
                            <w:proofErr w:type="spellEnd"/>
                            <w:r w:rsidRPr="00293A6D">
                              <w:rPr>
                                <w:color w:val="000000"/>
                              </w:rPr>
                              <w:t xml:space="preserve">, Global </w:t>
                            </w:r>
                            <w:proofErr w:type="spellStart"/>
                            <w:r w:rsidRPr="00293A6D">
                              <w:rPr>
                                <w:color w:val="000000"/>
                              </w:rPr>
                              <w:t>Director</w:t>
                            </w:r>
                            <w:proofErr w:type="spellEnd"/>
                            <w:r w:rsidRPr="00293A6D">
                              <w:rPr>
                                <w:color w:val="000000"/>
                              </w:rPr>
                              <w:t xml:space="preserve"> Data Center und Open </w:t>
                            </w:r>
                            <w:proofErr w:type="spellStart"/>
                            <w:r w:rsidRPr="00293A6D">
                              <w:rPr>
                                <w:color w:val="000000"/>
                              </w:rPr>
                              <w:t>Compute</w:t>
                            </w:r>
                            <w:proofErr w:type="spellEnd"/>
                            <w:r w:rsidRPr="00293A6D">
                              <w:rPr>
                                <w:color w:val="000000"/>
                              </w:rPr>
                              <w:t xml:space="preserve"> bei Rittal.</w:t>
                            </w:r>
                          </w:p>
                          <w:p w14:paraId="0FE81986" w14:textId="77777777" w:rsidR="00D5264F" w:rsidRDefault="00D5264F" w:rsidP="00D5264F">
                            <w:pPr>
                              <w:pStyle w:val="PIFlietext"/>
                              <w:ind w:right="-2"/>
                            </w:pPr>
                            <w:r>
                              <w:t xml:space="preserve">„Die Open19 </w:t>
                            </w:r>
                            <w:proofErr w:type="spellStart"/>
                            <w:r w:rsidRPr="008D7C7C">
                              <w:t>Foundation</w:t>
                            </w:r>
                            <w:proofErr w:type="spellEnd"/>
                            <w:r w:rsidRPr="008D7C7C">
                              <w:t xml:space="preserve"> ist eine schnell wachsende Gemeinschaft </w:t>
                            </w:r>
                            <w:r>
                              <w:t xml:space="preserve">von </w:t>
                            </w:r>
                            <w:r w:rsidRPr="008D7C7C">
                              <w:t xml:space="preserve">Unternehmen aus </w:t>
                            </w:r>
                            <w:r>
                              <w:t xml:space="preserve">unterschiedlichen Bereichen </w:t>
                            </w:r>
                            <w:r w:rsidRPr="008D7C7C">
                              <w:t xml:space="preserve">des Datacenter- </w:t>
                            </w:r>
                            <w:r>
                              <w:t xml:space="preserve">und Edge-Ökosystems. </w:t>
                            </w:r>
                            <w:r w:rsidRPr="00CD7D5C">
                              <w:t xml:space="preserve">Wir sind </w:t>
                            </w:r>
                            <w:r>
                              <w:t>sehr erfreut darüber,</w:t>
                            </w:r>
                            <w:r w:rsidRPr="00CD7D5C">
                              <w:t xml:space="preserve"> dass </w:t>
                            </w:r>
                            <w:r>
                              <w:t xml:space="preserve">Rittal – als wichtiger Akteur und globaler Player im Markt – nun Mitglied der Open19 </w:t>
                            </w:r>
                            <w:proofErr w:type="spellStart"/>
                            <w:r>
                              <w:t>Foundation</w:t>
                            </w:r>
                            <w:proofErr w:type="spellEnd"/>
                            <w:r>
                              <w:t xml:space="preserve"> ist</w:t>
                            </w:r>
                            <w:r w:rsidRPr="00CD7D5C">
                              <w:t xml:space="preserve">.“, erklärt Yuval </w:t>
                            </w:r>
                            <w:proofErr w:type="spellStart"/>
                            <w:r w:rsidRPr="00CD7D5C">
                              <w:t>Bachar</w:t>
                            </w:r>
                            <w:proofErr w:type="spellEnd"/>
                            <w:r w:rsidRPr="00CD7D5C">
                              <w:t xml:space="preserve">, Vorsitzender Open19 </w:t>
                            </w:r>
                            <w:proofErr w:type="spellStart"/>
                            <w:r w:rsidRPr="00CD7D5C">
                              <w:t>Foundation</w:t>
                            </w:r>
                            <w:proofErr w:type="spellEnd"/>
                            <w:r w:rsidRPr="00CD7D5C">
                              <w:t>.</w:t>
                            </w:r>
                          </w:p>
                          <w:p w14:paraId="008FA86E" w14:textId="77777777" w:rsidR="00C759EE" w:rsidRDefault="00C759EE" w:rsidP="00D5264F">
                            <w:pPr>
                              <w:pStyle w:val="PIFlietext"/>
                              <w:ind w:right="-2"/>
                            </w:pPr>
                          </w:p>
                          <w:p w14:paraId="223D2947" w14:textId="77777777" w:rsidR="00C759EE" w:rsidRDefault="00C759EE" w:rsidP="00D5264F">
                            <w:pPr>
                              <w:pStyle w:val="PIFlietext"/>
                              <w:ind w:right="-2"/>
                            </w:pPr>
                          </w:p>
                          <w:p w14:paraId="10BE02D5" w14:textId="77777777" w:rsidR="00D5264F" w:rsidRDefault="00D5264F" w:rsidP="00D5264F">
                            <w:pPr>
                              <w:pStyle w:val="PIFlietext"/>
                              <w:ind w:right="-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Standardisiertes Design für weniger Kosten</w:t>
                            </w:r>
                          </w:p>
                          <w:p w14:paraId="647F4F90" w14:textId="77777777" w:rsidR="00D5264F" w:rsidRPr="00DC6088" w:rsidRDefault="00D5264F" w:rsidP="00D5264F">
                            <w:pPr>
                              <w:pStyle w:val="PIFlietext"/>
                              <w:ind w:right="-2"/>
                            </w:pPr>
                            <w:r>
                              <w:t xml:space="preserve">Als jüngstes Mitglied der Open19-Community bietet Rittal mit einem Open19-Rack eine kostengünstige und schnell einsetzbare Lösung auf der gängigen 19 Zoll-Rack-Basis. Darüber hinaus wird der Systemanbieter mit der Mitgliedschaft das Ökosystem von Open19 unterstützen und Innovationen sowohl für bestehende Datacenter als für die wandelnden </w:t>
                            </w:r>
                            <w:r w:rsidRPr="00DC6088">
                              <w:t>Kundenanforderungen fördern.</w:t>
                            </w:r>
                          </w:p>
                          <w:p w14:paraId="031C2B45" w14:textId="77777777" w:rsidR="00D5264F" w:rsidRDefault="00D5264F" w:rsidP="00D5264F">
                            <w:pPr>
                              <w:pStyle w:val="PIFlietext"/>
                              <w:ind w:right="-2"/>
                            </w:pPr>
                            <w:r w:rsidRPr="00DC6088">
                              <w:t>„</w:t>
                            </w:r>
                            <w:r>
                              <w:t xml:space="preserve">Als </w:t>
                            </w:r>
                            <w:r w:rsidRPr="00DC6088">
                              <w:t>Mitglied</w:t>
                            </w:r>
                            <w:r>
                              <w:t xml:space="preserve"> </w:t>
                            </w:r>
                            <w:r w:rsidRPr="00DC6088">
                              <w:t xml:space="preserve">der Open19 </w:t>
                            </w:r>
                            <w:proofErr w:type="spellStart"/>
                            <w:r w:rsidRPr="00DC6088">
                              <w:t>Foundation</w:t>
                            </w:r>
                            <w:proofErr w:type="spellEnd"/>
                            <w:r>
                              <w:t xml:space="preserve"> ist Rittal jetzt noch besser für die Anforderungen im Datacenter-Markt aufgestellt</w:t>
                            </w:r>
                            <w:r w:rsidRPr="00DC6088">
                              <w:t>.</w:t>
                            </w:r>
                            <w:r>
                              <w:t xml:space="preserve"> Darunter zählen die steigende Zahl an </w:t>
                            </w:r>
                            <w:proofErr w:type="spellStart"/>
                            <w:r w:rsidRPr="00DC6088">
                              <w:t>Hyperscalern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Colocation</w:t>
                            </w:r>
                            <w:proofErr w:type="spellEnd"/>
                            <w:r>
                              <w:t xml:space="preserve">-Anbieter, </w:t>
                            </w:r>
                            <w:r w:rsidRPr="00F6250F">
                              <w:t>Telekom</w:t>
                            </w:r>
                            <w:r>
                              <w:t>-</w:t>
                            </w:r>
                            <w:r w:rsidRPr="004834AA">
                              <w:t xml:space="preserve"> </w:t>
                            </w:r>
                            <w:r>
                              <w:t xml:space="preserve">Konvergenz und </w:t>
                            </w:r>
                            <w:r w:rsidRPr="00DC6088">
                              <w:t>Edge Computing.“</w:t>
                            </w:r>
                            <w:r>
                              <w:t xml:space="preserve"> </w:t>
                            </w:r>
                            <w:r w:rsidRPr="00E70FE8">
                              <w:t xml:space="preserve">fügt </w:t>
                            </w:r>
                            <w:proofErr w:type="spellStart"/>
                            <w:r w:rsidRPr="00E70FE8">
                              <w:t>Rylands</w:t>
                            </w:r>
                            <w:proofErr w:type="spellEnd"/>
                            <w:r w:rsidRPr="00E70FE8">
                              <w:t xml:space="preserve"> hinzu.</w:t>
                            </w:r>
                          </w:p>
                          <w:p w14:paraId="6AB4B561" w14:textId="77777777" w:rsidR="00D5264F" w:rsidRDefault="00D5264F" w:rsidP="00D5264F">
                            <w:pPr>
                              <w:pStyle w:val="PIFlietext"/>
                              <w:suppressAutoHyphens/>
                              <w:ind w:right="-2"/>
                            </w:pPr>
                            <w:r>
                              <w:rPr>
                                <w:b/>
                                <w:bCs/>
                              </w:rPr>
                              <w:t>Standardisiert für kürzere Time-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-Market</w:t>
                            </w:r>
                            <w:r>
                              <w:t xml:space="preserve"> </w:t>
                            </w:r>
                          </w:p>
                          <w:p w14:paraId="319F36BD" w14:textId="77777777" w:rsidR="00D5264F" w:rsidRPr="007F2D56" w:rsidRDefault="00D5264F" w:rsidP="00D5264F">
                            <w:pPr>
                              <w:pStyle w:val="PIFlietext"/>
                              <w:ind w:right="-2"/>
                            </w:pPr>
                            <w:r>
                              <w:t>Ein Vorteil der innovativen Open19-Architektur ist der Einsatz von Gleichstrom bei der Versorgung der Server. Die Anschlüsse werden über einen speziellen Kabelbaum auf der Rückseite mit den Power-</w:t>
                            </w:r>
                            <w:proofErr w:type="spellStart"/>
                            <w:r>
                              <w:t>Shelves</w:t>
                            </w:r>
                            <w:proofErr w:type="spellEnd"/>
                            <w:r>
                              <w:t xml:space="preserve"> verbunden.</w:t>
                            </w:r>
                          </w:p>
                          <w:p w14:paraId="4403BBBD" w14:textId="77777777" w:rsidR="00D5264F" w:rsidRPr="007F2D56" w:rsidRDefault="00D5264F" w:rsidP="00D5264F">
                            <w:pPr>
                              <w:pStyle w:val="PIFlietext"/>
                              <w:ind w:right="-2"/>
                            </w:pPr>
                            <w:r w:rsidRPr="007F2D56">
                              <w:t xml:space="preserve">Die Gleichstromversorgung sorgt für Energieeffizienz, </w:t>
                            </w:r>
                            <w:r>
                              <w:t>der</w:t>
                            </w:r>
                            <w:r w:rsidRPr="007F2D56">
                              <w:t xml:space="preserve"> standardisiert</w:t>
                            </w:r>
                            <w:r>
                              <w:t>e, modulare</w:t>
                            </w:r>
                            <w:r w:rsidRPr="007F2D56">
                              <w:t xml:space="preserve"> Aufbau für eine kürzere Time-</w:t>
                            </w:r>
                            <w:proofErr w:type="spellStart"/>
                            <w:r w:rsidRPr="007F2D56">
                              <w:t>to</w:t>
                            </w:r>
                            <w:proofErr w:type="spellEnd"/>
                            <w:r w:rsidRPr="007F2D56">
                              <w:t xml:space="preserve">-Market und </w:t>
                            </w:r>
                            <w:r>
                              <w:t xml:space="preserve">die </w:t>
                            </w:r>
                            <w:r w:rsidRPr="007F2D56">
                              <w:t>Skalierbarkeit für flexiblere Anpassungen</w:t>
                            </w:r>
                            <w:r>
                              <w:t xml:space="preserve"> </w:t>
                            </w:r>
                            <w:r w:rsidRPr="007F2D56">
                              <w:t>im Datacenter aus.</w:t>
                            </w:r>
                          </w:p>
                          <w:p w14:paraId="5E461BA6" w14:textId="77777777" w:rsidR="00D5264F" w:rsidRPr="00AF0DAE" w:rsidRDefault="00D5264F" w:rsidP="00D5264F">
                            <w:pPr>
                              <w:pStyle w:val="PIFlietext"/>
                              <w:suppressAutoHyphens/>
                              <w:ind w:right="-2"/>
                            </w:pPr>
                            <w:r w:rsidRPr="00AF0DAE">
                              <w:t>(</w:t>
                            </w:r>
                            <w:r>
                              <w:t>2.791</w:t>
                            </w:r>
                            <w:r w:rsidRPr="00AF0DAE">
                              <w:t xml:space="preserve"> Zeichen)</w:t>
                            </w:r>
                          </w:p>
                          <w:p w14:paraId="6379B9B2" w14:textId="77777777" w:rsidR="00C23BE5" w:rsidRDefault="00C23BE5" w:rsidP="00AC19EA">
                            <w:pPr>
                              <w:widowControl w:val="0"/>
                              <w:spacing w:after="120" w:line="280" w:lineRule="exact"/>
                              <w:contextualSpacing/>
                              <w:rPr>
                                <w:rFonts w:ascii="Arial" w:hAnsi="Arial"/>
                              </w:rPr>
                            </w:pPr>
                          </w:p>
                          <w:p w14:paraId="4FD5C791" w14:textId="77777777" w:rsidR="00AC19EA" w:rsidRDefault="00AC19EA" w:rsidP="00AC19EA">
                            <w:pPr>
                              <w:widowControl w:val="0"/>
                              <w:spacing w:after="120" w:line="280" w:lineRule="exact"/>
                              <w:contextualSpacing/>
                              <w:rPr>
                                <w:rFonts w:ascii="Arial" w:hAnsi="Arial"/>
                              </w:rPr>
                            </w:pPr>
                          </w:p>
                          <w:p w14:paraId="5755E0B6" w14:textId="77777777" w:rsidR="00AC19EA" w:rsidRPr="00D5264F" w:rsidRDefault="00C23BE5" w:rsidP="00AC19EA">
                            <w:pPr>
                              <w:widowControl w:val="0"/>
                              <w:spacing w:after="120" w:line="280" w:lineRule="exact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26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Bildmaterial</w:t>
                            </w:r>
                          </w:p>
                          <w:p w14:paraId="149A9A8F" w14:textId="77777777" w:rsidR="00AC19EA" w:rsidRPr="00D5264F" w:rsidRDefault="00AC19EA" w:rsidP="00AC19EA">
                            <w:pPr>
                              <w:widowControl w:val="0"/>
                              <w:spacing w:after="120" w:line="280" w:lineRule="exact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281DC5" w14:textId="09E2F117" w:rsidR="00C23BE5" w:rsidRPr="00D5264F" w:rsidRDefault="00C23BE5" w:rsidP="00AC19EA">
                            <w:pPr>
                              <w:widowControl w:val="0"/>
                              <w:spacing w:after="120" w:line="280" w:lineRule="exact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26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Bild 1:</w:t>
                            </w:r>
                            <w:r w:rsidRPr="00D52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5264F" w:rsidRPr="00D52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(fri171622350): Energieeffizient: Mit dem Open19-Rack bietet Rittal eine Gleichstrom-Lösung auf der gängigen 19“-Rack Basis. Die Anschlüsse werden nicht auf eine zentrale Stromschiene an der Rückseite des Schrankes adaptiert, sondern über einen speziellen Kabelbaum auf der Rückseite mit den Power-</w:t>
                            </w:r>
                            <w:proofErr w:type="spellStart"/>
                            <w:r w:rsidR="00D5264F" w:rsidRPr="00D52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Shelves</w:t>
                            </w:r>
                            <w:proofErr w:type="spellEnd"/>
                            <w:r w:rsidR="00D5264F" w:rsidRPr="00D52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verbunden.</w:t>
                            </w:r>
                          </w:p>
                          <w:p w14:paraId="400ABC6C" w14:textId="77777777" w:rsidR="00AC19EA" w:rsidRPr="00D5264F" w:rsidRDefault="00AC19EA" w:rsidP="00AC19EA">
                            <w:pPr>
                              <w:widowControl w:val="0"/>
                              <w:spacing w:after="120" w:line="280" w:lineRule="exact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D18A42" w14:textId="77777777" w:rsidR="00D5264F" w:rsidRPr="00C33F4D" w:rsidRDefault="00C23BE5" w:rsidP="00D5264F">
                            <w:pPr>
                              <w:pStyle w:val="PIAbspann"/>
                              <w:ind w:right="-2"/>
                            </w:pPr>
                            <w:r w:rsidRPr="00D5264F">
                              <w:rPr>
                                <w:b/>
                                <w:szCs w:val="18"/>
                              </w:rPr>
                              <w:t>Bild 2:</w:t>
                            </w:r>
                            <w:r w:rsidRPr="00D5264F">
                              <w:rPr>
                                <w:szCs w:val="18"/>
                              </w:rPr>
                              <w:tab/>
                              <w:t xml:space="preserve"> </w:t>
                            </w:r>
                            <w:r w:rsidR="00D5264F">
                              <w:t>(</w:t>
                            </w:r>
                            <w:r w:rsidR="00D5264F" w:rsidRPr="00860511">
                              <w:t>fri161604800</w:t>
                            </w:r>
                            <w:r w:rsidR="00D5264F">
                              <w:t>)</w:t>
                            </w:r>
                            <w:r w:rsidR="00D5264F" w:rsidRPr="00C33F4D">
                              <w:t>: „</w:t>
                            </w:r>
                            <w:r w:rsidR="00D5264F">
                              <w:t xml:space="preserve">Aufgrund der steigenden Energiekosten nutzen wir alle Möglichkeiten für mehr Energieeffizienz zugunsten unserer Kunden. Dies unterstreichen wir mit unserem Beitritt in die Open19 </w:t>
                            </w:r>
                            <w:proofErr w:type="spellStart"/>
                            <w:r w:rsidR="00D5264F">
                              <w:t>Foundation</w:t>
                            </w:r>
                            <w:proofErr w:type="spellEnd"/>
                            <w:r w:rsidR="00D5264F">
                              <w:t xml:space="preserve">, in der wir aktiv innovative Rack-Architekturen mitgestalten.“, </w:t>
                            </w:r>
                            <w:r w:rsidR="00D5264F" w:rsidRPr="00C33F4D">
                              <w:t xml:space="preserve">sagt Jason </w:t>
                            </w:r>
                            <w:proofErr w:type="spellStart"/>
                            <w:r w:rsidR="00D5264F" w:rsidRPr="00C33F4D">
                              <w:t>Rylands</w:t>
                            </w:r>
                            <w:proofErr w:type="spellEnd"/>
                            <w:r w:rsidR="00D5264F" w:rsidRPr="00C33F4D">
                              <w:t xml:space="preserve">, Global </w:t>
                            </w:r>
                            <w:proofErr w:type="spellStart"/>
                            <w:r w:rsidR="00D5264F" w:rsidRPr="00C33F4D">
                              <w:t>Director</w:t>
                            </w:r>
                            <w:proofErr w:type="spellEnd"/>
                            <w:r w:rsidR="00D5264F" w:rsidRPr="00C33F4D">
                              <w:t xml:space="preserve"> Data Center und Open </w:t>
                            </w:r>
                            <w:proofErr w:type="spellStart"/>
                            <w:r w:rsidR="00D5264F" w:rsidRPr="00C33F4D">
                              <w:t>Compute</w:t>
                            </w:r>
                            <w:proofErr w:type="spellEnd"/>
                            <w:r w:rsidR="00D5264F" w:rsidRPr="00C33F4D">
                              <w:t xml:space="preserve"> bei Rittal.</w:t>
                            </w:r>
                          </w:p>
                          <w:p w14:paraId="76EB5B5D" w14:textId="14E4E929" w:rsidR="00C23BE5" w:rsidRPr="00D5264F" w:rsidRDefault="00C23BE5" w:rsidP="00AC19EA">
                            <w:pPr>
                              <w:widowControl w:val="0"/>
                              <w:spacing w:after="120" w:line="280" w:lineRule="exact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E1D00B6" w14:textId="77777777" w:rsidR="00AC19EA" w:rsidRDefault="00AC19EA" w:rsidP="00AC19EA">
                            <w:pPr>
                              <w:widowControl w:val="0"/>
                              <w:spacing w:after="120" w:line="280" w:lineRule="exact"/>
                              <w:contextualSpacing/>
                              <w:rPr>
                                <w:rFonts w:ascii="Arial" w:hAnsi="Arial"/>
                              </w:rPr>
                            </w:pPr>
                          </w:p>
                          <w:p w14:paraId="79B11EC1" w14:textId="77777777" w:rsidR="00C23BE5" w:rsidRPr="002427FE" w:rsidRDefault="00C23BE5" w:rsidP="00AC19EA">
                            <w:pPr>
                              <w:widowControl w:val="0"/>
                              <w:spacing w:after="120" w:line="280" w:lineRule="exact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27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Abdruck honorarfrei. Bitte geben Sie als Quelle Rittal GmbH.</w:t>
                            </w:r>
                          </w:p>
                          <w:p w14:paraId="1AF5CDBF" w14:textId="77777777" w:rsidR="00C23BE5" w:rsidRDefault="00C23BE5" w:rsidP="00AC19EA">
                            <w:pPr>
                              <w:widowControl w:val="0"/>
                              <w:spacing w:after="120" w:line="280" w:lineRule="exact"/>
                              <w:contextualSpacing/>
                            </w:pPr>
                            <w:r w:rsidRPr="002427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Weitere Informationen finden Sie unter </w:t>
                            </w:r>
                            <w:hyperlink r:id="rId6" w:history="1">
                              <w:r w:rsidRPr="002427FE">
                                <w:rPr>
                                  <w:rStyle w:val="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www.rittal.at</w:t>
                              </w:r>
                            </w:hyperlink>
                            <w:r w:rsidRPr="002427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und unter Rittal </w:t>
                            </w:r>
                            <w:hyperlink r:id="rId7" w:history="1">
                              <w:r w:rsidRPr="002427FE">
                                <w:rPr>
                                  <w:rStyle w:val="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Pressemeldungen</w:t>
                              </w:r>
                            </w:hyperlink>
                          </w:p>
                          <w:p w14:paraId="62E2E722" w14:textId="77777777" w:rsidR="00C23BE5" w:rsidRDefault="00C23BE5" w:rsidP="00AC19EA">
                            <w:pPr>
                              <w:widowControl w:val="0"/>
                              <w:spacing w:after="120" w:line="280" w:lineRule="exact"/>
                              <w:contextualSpacing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0A9F"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margin-left:-3.75pt;margin-top:9.2pt;width:342pt;height:64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" filled="f" stroked="f">
                <v:textbox style="mso-next-textbox:#Textfeld 7">
                  <w:txbxContent>
                    <w:p w14:paraId="256305F6" w14:textId="77777777" w:rsidR="00D5264F" w:rsidRPr="00D5264F" w:rsidRDefault="00D5264F" w:rsidP="00D5264F">
                      <w:pPr>
                        <w:pStyle w:val="PIDachzeile"/>
                        <w:tabs>
                          <w:tab w:val="left" w:pos="5580"/>
                        </w:tabs>
                        <w:ind w:right="31"/>
                      </w:pPr>
                      <w:r w:rsidRPr="00D5264F">
                        <w:rPr>
                          <w:noProof/>
                        </w:rPr>
                        <w:t>R</w:t>
                      </w:r>
                      <w:bookmarkStart w:id="1" w:name="_GoBack"/>
                      <w:r w:rsidRPr="00D5264F">
                        <w:rPr>
                          <w:noProof/>
                        </w:rPr>
                        <w:t xml:space="preserve">ittal tritt Open19 Foundation bei </w:t>
                      </w:r>
                    </w:p>
                    <w:p w14:paraId="62E87E2A" w14:textId="77777777" w:rsidR="00D5264F" w:rsidRPr="00943D4A" w:rsidRDefault="00D5264F" w:rsidP="00D5264F">
                      <w:pPr>
                        <w:pStyle w:val="PIberschrift"/>
                        <w:ind w:right="-2"/>
                      </w:pPr>
                      <w:r>
                        <w:rPr>
                          <w:u w:color="FF0000"/>
                        </w:rPr>
                        <w:t>Rittal treibt standardisierte Open Rack-Technologie voran</w:t>
                      </w:r>
                    </w:p>
                    <w:p w14:paraId="0C3CFC42" w14:textId="77777777" w:rsidR="00D5264F" w:rsidRPr="00DF62EE" w:rsidRDefault="00D5264F" w:rsidP="00D5264F">
                      <w:pPr>
                        <w:pStyle w:val="PIFlietext"/>
                        <w:ind w:right="-2"/>
                        <w:rPr>
                          <w:b/>
                          <w:bCs/>
                          <w:u w:color="FF0000"/>
                        </w:rPr>
                      </w:pPr>
                      <w:r w:rsidRPr="00943D4A">
                        <w:rPr>
                          <w:b/>
                          <w:bCs/>
                          <w:u w:color="FF0000"/>
                        </w:rPr>
                        <w:t xml:space="preserve">Mit über drei Prozent des globalen Stromverbrauchs </w:t>
                      </w:r>
                      <w:r>
                        <w:rPr>
                          <w:b/>
                          <w:bCs/>
                          <w:u w:color="FF0000"/>
                        </w:rPr>
                        <w:t xml:space="preserve">sind Datacenter ein bedeutender Treiber für den Energieverbrauch. Dieser Entwicklung begegnet die jüngst gegründete Open19 </w:t>
                      </w:r>
                      <w:proofErr w:type="spellStart"/>
                      <w:r>
                        <w:rPr>
                          <w:b/>
                          <w:bCs/>
                          <w:u w:color="FF0000"/>
                        </w:rPr>
                        <w:t>Foundation</w:t>
                      </w:r>
                      <w:proofErr w:type="spellEnd"/>
                      <w:r>
                        <w:rPr>
                          <w:b/>
                          <w:bCs/>
                          <w:u w:color="FF0000"/>
                        </w:rPr>
                        <w:t xml:space="preserve"> mit einem neuen Konzept: Standardisierte, modulare IT-Infrastrukturen sorgen für mehr Effizienz, weniger Kosten und größere Flexibilität im Datacenter. </w:t>
                      </w:r>
                      <w:r>
                        <w:rPr>
                          <w:b/>
                          <w:bCs/>
                        </w:rPr>
                        <w:t xml:space="preserve">Rittal ist nun Mitglied der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Foundation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 um g</w:t>
                      </w:r>
                      <w:r>
                        <w:rPr>
                          <w:b/>
                          <w:bCs/>
                          <w:u w:color="FF0000"/>
                        </w:rPr>
                        <w:t xml:space="preserve">emeinsam mit weiteren Vertretern den </w:t>
                      </w:r>
                      <w:r>
                        <w:rPr>
                          <w:b/>
                          <w:bCs/>
                        </w:rPr>
                        <w:t>innovativen Ansatz voranzutreiben.</w:t>
                      </w:r>
                    </w:p>
                    <w:p w14:paraId="1AA63224" w14:textId="4941E8E0" w:rsidR="00D5264F" w:rsidRDefault="00D5264F" w:rsidP="00D5264F">
                      <w:pPr>
                        <w:pStyle w:val="PIFlietext"/>
                        <w:ind w:right="-2"/>
                        <w:rPr>
                          <w:color w:val="000000"/>
                        </w:rPr>
                      </w:pPr>
                      <w:r w:rsidRPr="00D269A8">
                        <w:t xml:space="preserve">Rittal, der größte Rack-Produzent der Welt, ist der Open19 </w:t>
                      </w:r>
                      <w:proofErr w:type="spellStart"/>
                      <w:r w:rsidRPr="00D269A8">
                        <w:t>Foundation</w:t>
                      </w:r>
                      <w:proofErr w:type="spellEnd"/>
                      <w:r w:rsidRPr="00D269A8">
                        <w:t xml:space="preserve"> beigetreten. Getrieben von der Microsoft-Tochter LinkedIn und </w:t>
                      </w:r>
                      <w:r>
                        <w:t xml:space="preserve">globalen Anbietern, wie </w:t>
                      </w:r>
                      <w:r w:rsidRPr="00D269A8">
                        <w:t xml:space="preserve">HPE </w:t>
                      </w:r>
                      <w:r>
                        <w:t xml:space="preserve">und GE Digital, </w:t>
                      </w:r>
                      <w:r w:rsidRPr="00D269A8">
                        <w:t xml:space="preserve">wurde diese im Mai 2017 mit dem Ziel ins Leben gerufen, Datacenter kostengünstiger, effizienter und flexibler zu gestalten. Dafür setzt das Open Source-Design auf eine standardisierte </w:t>
                      </w:r>
                      <w:r>
                        <w:rPr>
                          <w:color w:val="000000"/>
                        </w:rPr>
                        <w:t>Architektur für Computer- und Storage-Komponenten im gängigen 19-Zoll-Rack, bei der die Komponenten unterschiedlicher Hersteller miteinander kompatibel sind.</w:t>
                      </w:r>
                    </w:p>
                    <w:p w14:paraId="74DE5176" w14:textId="77777777" w:rsidR="00D5264F" w:rsidRDefault="00D5264F" w:rsidP="00D5264F">
                      <w:pPr>
                        <w:pStyle w:val="PIFlietext"/>
                        <w:ind w:right="-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„Aufgrund der steigenden Energiekosten nutzen wir alle Möglichkeiten für mehr Energieeffizienz zugunsten unserer Kunden. Dies unterstreichen wir mit unserem Beitritt in die Open19 </w:t>
                      </w:r>
                      <w:proofErr w:type="spellStart"/>
                      <w:r>
                        <w:rPr>
                          <w:color w:val="000000"/>
                        </w:rPr>
                        <w:t>Foundation</w:t>
                      </w:r>
                      <w:proofErr w:type="spellEnd"/>
                      <w:r>
                        <w:rPr>
                          <w:color w:val="000000"/>
                        </w:rPr>
                        <w:t>, in der wir aktiv innovative Rack-</w:t>
                      </w:r>
                      <w:r w:rsidRPr="00293A6D">
                        <w:rPr>
                          <w:color w:val="000000"/>
                        </w:rPr>
                        <w:t xml:space="preserve">Architekturen </w:t>
                      </w:r>
                      <w:r>
                        <w:rPr>
                          <w:color w:val="000000"/>
                        </w:rPr>
                        <w:t>mitgestalten.“</w:t>
                      </w:r>
                      <w:r>
                        <w:t xml:space="preserve">, </w:t>
                      </w:r>
                      <w:r w:rsidRPr="00293A6D">
                        <w:rPr>
                          <w:color w:val="000000"/>
                        </w:rPr>
                        <w:t xml:space="preserve">sagt Jason </w:t>
                      </w:r>
                      <w:proofErr w:type="spellStart"/>
                      <w:r w:rsidRPr="00293A6D">
                        <w:rPr>
                          <w:color w:val="000000"/>
                        </w:rPr>
                        <w:t>Rylands</w:t>
                      </w:r>
                      <w:proofErr w:type="spellEnd"/>
                      <w:r w:rsidRPr="00293A6D">
                        <w:rPr>
                          <w:color w:val="000000"/>
                        </w:rPr>
                        <w:t xml:space="preserve">, Global </w:t>
                      </w:r>
                      <w:proofErr w:type="spellStart"/>
                      <w:r w:rsidRPr="00293A6D">
                        <w:rPr>
                          <w:color w:val="000000"/>
                        </w:rPr>
                        <w:t>Director</w:t>
                      </w:r>
                      <w:proofErr w:type="spellEnd"/>
                      <w:r w:rsidRPr="00293A6D">
                        <w:rPr>
                          <w:color w:val="000000"/>
                        </w:rPr>
                        <w:t xml:space="preserve"> Data Center und Open </w:t>
                      </w:r>
                      <w:proofErr w:type="spellStart"/>
                      <w:r w:rsidRPr="00293A6D">
                        <w:rPr>
                          <w:color w:val="000000"/>
                        </w:rPr>
                        <w:t>Compute</w:t>
                      </w:r>
                      <w:proofErr w:type="spellEnd"/>
                      <w:r w:rsidRPr="00293A6D">
                        <w:rPr>
                          <w:color w:val="000000"/>
                        </w:rPr>
                        <w:t xml:space="preserve"> bei Rittal.</w:t>
                      </w:r>
                    </w:p>
                    <w:p w14:paraId="0FE81986" w14:textId="77777777" w:rsidR="00D5264F" w:rsidRDefault="00D5264F" w:rsidP="00D5264F">
                      <w:pPr>
                        <w:pStyle w:val="PIFlietext"/>
                        <w:ind w:right="-2"/>
                      </w:pPr>
                      <w:r>
                        <w:t xml:space="preserve">„Die Open19 </w:t>
                      </w:r>
                      <w:proofErr w:type="spellStart"/>
                      <w:r w:rsidRPr="008D7C7C">
                        <w:t>Foundation</w:t>
                      </w:r>
                      <w:proofErr w:type="spellEnd"/>
                      <w:r w:rsidRPr="008D7C7C">
                        <w:t xml:space="preserve"> ist eine schnell wachsende Gemeinschaft </w:t>
                      </w:r>
                      <w:r>
                        <w:t xml:space="preserve">von </w:t>
                      </w:r>
                      <w:r w:rsidRPr="008D7C7C">
                        <w:t xml:space="preserve">Unternehmen aus </w:t>
                      </w:r>
                      <w:r>
                        <w:t xml:space="preserve">unterschiedlichen Bereichen </w:t>
                      </w:r>
                      <w:r w:rsidRPr="008D7C7C">
                        <w:t xml:space="preserve">des Datacenter- </w:t>
                      </w:r>
                      <w:r>
                        <w:t xml:space="preserve">und Edge-Ökosystems. </w:t>
                      </w:r>
                      <w:r w:rsidRPr="00CD7D5C">
                        <w:t xml:space="preserve">Wir sind </w:t>
                      </w:r>
                      <w:r>
                        <w:t>sehr erfreut darüber,</w:t>
                      </w:r>
                      <w:r w:rsidRPr="00CD7D5C">
                        <w:t xml:space="preserve"> dass </w:t>
                      </w:r>
                      <w:r>
                        <w:t xml:space="preserve">Rittal – als wichtiger Akteur und globaler Player im Markt – nun Mitglied der Open19 </w:t>
                      </w:r>
                      <w:proofErr w:type="spellStart"/>
                      <w:r>
                        <w:t>Foundation</w:t>
                      </w:r>
                      <w:proofErr w:type="spellEnd"/>
                      <w:r>
                        <w:t xml:space="preserve"> ist</w:t>
                      </w:r>
                      <w:r w:rsidRPr="00CD7D5C">
                        <w:t xml:space="preserve">.“, erklärt Yuval </w:t>
                      </w:r>
                      <w:proofErr w:type="spellStart"/>
                      <w:r w:rsidRPr="00CD7D5C">
                        <w:t>Bachar</w:t>
                      </w:r>
                      <w:proofErr w:type="spellEnd"/>
                      <w:r w:rsidRPr="00CD7D5C">
                        <w:t xml:space="preserve">, Vorsitzender Open19 </w:t>
                      </w:r>
                      <w:proofErr w:type="spellStart"/>
                      <w:r w:rsidRPr="00CD7D5C">
                        <w:t>Foundation</w:t>
                      </w:r>
                      <w:proofErr w:type="spellEnd"/>
                      <w:r w:rsidRPr="00CD7D5C">
                        <w:t>.</w:t>
                      </w:r>
                    </w:p>
                    <w:p w14:paraId="008FA86E" w14:textId="77777777" w:rsidR="00C759EE" w:rsidRDefault="00C759EE" w:rsidP="00D5264F">
                      <w:pPr>
                        <w:pStyle w:val="PIFlietext"/>
                        <w:ind w:right="-2"/>
                      </w:pPr>
                    </w:p>
                    <w:p w14:paraId="223D2947" w14:textId="77777777" w:rsidR="00C759EE" w:rsidRDefault="00C759EE" w:rsidP="00D5264F">
                      <w:pPr>
                        <w:pStyle w:val="PIFlietext"/>
                        <w:ind w:right="-2"/>
                      </w:pPr>
                    </w:p>
                    <w:p w14:paraId="10BE02D5" w14:textId="77777777" w:rsidR="00D5264F" w:rsidRDefault="00D5264F" w:rsidP="00D5264F">
                      <w:pPr>
                        <w:pStyle w:val="PIFlietext"/>
                        <w:ind w:right="-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Standardisiertes Design für weniger Kosten</w:t>
                      </w:r>
                    </w:p>
                    <w:p w14:paraId="647F4F90" w14:textId="77777777" w:rsidR="00D5264F" w:rsidRPr="00DC6088" w:rsidRDefault="00D5264F" w:rsidP="00D5264F">
                      <w:pPr>
                        <w:pStyle w:val="PIFlietext"/>
                        <w:ind w:right="-2"/>
                      </w:pPr>
                      <w:r>
                        <w:t xml:space="preserve">Als jüngstes Mitglied der Open19-Community bietet Rittal mit einem Open19-Rack eine kostengünstige und schnell einsetzbare Lösung auf der gängigen 19 Zoll-Rack-Basis. Darüber hinaus wird der Systemanbieter mit der Mitgliedschaft das Ökosystem von Open19 unterstützen und Innovationen sowohl für bestehende Datacenter als für die wandelnden </w:t>
                      </w:r>
                      <w:r w:rsidRPr="00DC6088">
                        <w:t>Kundenanforderungen fördern.</w:t>
                      </w:r>
                    </w:p>
                    <w:p w14:paraId="031C2B45" w14:textId="77777777" w:rsidR="00D5264F" w:rsidRDefault="00D5264F" w:rsidP="00D5264F">
                      <w:pPr>
                        <w:pStyle w:val="PIFlietext"/>
                        <w:ind w:right="-2"/>
                      </w:pPr>
                      <w:r w:rsidRPr="00DC6088">
                        <w:t>„</w:t>
                      </w:r>
                      <w:r>
                        <w:t xml:space="preserve">Als </w:t>
                      </w:r>
                      <w:r w:rsidRPr="00DC6088">
                        <w:t>Mitglied</w:t>
                      </w:r>
                      <w:r>
                        <w:t xml:space="preserve"> </w:t>
                      </w:r>
                      <w:r w:rsidRPr="00DC6088">
                        <w:t xml:space="preserve">der Open19 </w:t>
                      </w:r>
                      <w:proofErr w:type="spellStart"/>
                      <w:r w:rsidRPr="00DC6088">
                        <w:t>Foundation</w:t>
                      </w:r>
                      <w:proofErr w:type="spellEnd"/>
                      <w:r>
                        <w:t xml:space="preserve"> ist Rittal jetzt noch besser für die Anforderungen im Datacenter-Markt aufgestellt</w:t>
                      </w:r>
                      <w:r w:rsidRPr="00DC6088">
                        <w:t>.</w:t>
                      </w:r>
                      <w:r>
                        <w:t xml:space="preserve"> Darunter zählen die steigende Zahl an </w:t>
                      </w:r>
                      <w:proofErr w:type="spellStart"/>
                      <w:r w:rsidRPr="00DC6088">
                        <w:t>Hyperscalern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Colocation</w:t>
                      </w:r>
                      <w:proofErr w:type="spellEnd"/>
                      <w:r>
                        <w:t xml:space="preserve">-Anbieter, </w:t>
                      </w:r>
                      <w:r w:rsidRPr="00F6250F">
                        <w:t>Telekom</w:t>
                      </w:r>
                      <w:r>
                        <w:t>-</w:t>
                      </w:r>
                      <w:r w:rsidRPr="004834AA">
                        <w:t xml:space="preserve"> </w:t>
                      </w:r>
                      <w:r>
                        <w:t xml:space="preserve">Konvergenz und </w:t>
                      </w:r>
                      <w:r w:rsidRPr="00DC6088">
                        <w:t>Edge Computing.“</w:t>
                      </w:r>
                      <w:r>
                        <w:t xml:space="preserve"> </w:t>
                      </w:r>
                      <w:r w:rsidRPr="00E70FE8">
                        <w:t xml:space="preserve">fügt </w:t>
                      </w:r>
                      <w:proofErr w:type="spellStart"/>
                      <w:r w:rsidRPr="00E70FE8">
                        <w:t>Rylands</w:t>
                      </w:r>
                      <w:proofErr w:type="spellEnd"/>
                      <w:r w:rsidRPr="00E70FE8">
                        <w:t xml:space="preserve"> hinzu.</w:t>
                      </w:r>
                    </w:p>
                    <w:p w14:paraId="6AB4B561" w14:textId="77777777" w:rsidR="00D5264F" w:rsidRDefault="00D5264F" w:rsidP="00D5264F">
                      <w:pPr>
                        <w:pStyle w:val="PIFlietext"/>
                        <w:suppressAutoHyphens/>
                        <w:ind w:right="-2"/>
                      </w:pPr>
                      <w:r>
                        <w:rPr>
                          <w:b/>
                          <w:bCs/>
                        </w:rPr>
                        <w:t>Standardisiert für kürzere Time-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-Market</w:t>
                      </w:r>
                      <w:r>
                        <w:t xml:space="preserve"> </w:t>
                      </w:r>
                    </w:p>
                    <w:p w14:paraId="319F36BD" w14:textId="77777777" w:rsidR="00D5264F" w:rsidRPr="007F2D56" w:rsidRDefault="00D5264F" w:rsidP="00D5264F">
                      <w:pPr>
                        <w:pStyle w:val="PIFlietext"/>
                        <w:ind w:right="-2"/>
                      </w:pPr>
                      <w:r>
                        <w:t>Ein Vorteil der innovativen Open19-Architektur ist der Einsatz von Gleichstrom bei der Versorgung der Server. Die Anschlüsse werden über einen speziellen Kabelbaum auf der Rückseite mit den Power-</w:t>
                      </w:r>
                      <w:proofErr w:type="spellStart"/>
                      <w:r>
                        <w:t>Shelves</w:t>
                      </w:r>
                      <w:proofErr w:type="spellEnd"/>
                      <w:r>
                        <w:t xml:space="preserve"> verbunden.</w:t>
                      </w:r>
                    </w:p>
                    <w:p w14:paraId="4403BBBD" w14:textId="77777777" w:rsidR="00D5264F" w:rsidRPr="007F2D56" w:rsidRDefault="00D5264F" w:rsidP="00D5264F">
                      <w:pPr>
                        <w:pStyle w:val="PIFlietext"/>
                        <w:ind w:right="-2"/>
                      </w:pPr>
                      <w:r w:rsidRPr="007F2D56">
                        <w:t xml:space="preserve">Die Gleichstromversorgung sorgt für Energieeffizienz, </w:t>
                      </w:r>
                      <w:r>
                        <w:t>der</w:t>
                      </w:r>
                      <w:r w:rsidRPr="007F2D56">
                        <w:t xml:space="preserve"> standardisiert</w:t>
                      </w:r>
                      <w:r>
                        <w:t>e, modulare</w:t>
                      </w:r>
                      <w:r w:rsidRPr="007F2D56">
                        <w:t xml:space="preserve"> Aufbau für eine kürzere Time-</w:t>
                      </w:r>
                      <w:proofErr w:type="spellStart"/>
                      <w:r w:rsidRPr="007F2D56">
                        <w:t>to</w:t>
                      </w:r>
                      <w:proofErr w:type="spellEnd"/>
                      <w:r w:rsidRPr="007F2D56">
                        <w:t xml:space="preserve">-Market und </w:t>
                      </w:r>
                      <w:r>
                        <w:t xml:space="preserve">die </w:t>
                      </w:r>
                      <w:r w:rsidRPr="007F2D56">
                        <w:t>Skalierbarkeit für flexiblere Anpassungen</w:t>
                      </w:r>
                      <w:r>
                        <w:t xml:space="preserve"> </w:t>
                      </w:r>
                      <w:r w:rsidRPr="007F2D56">
                        <w:t>im Datacenter aus.</w:t>
                      </w:r>
                    </w:p>
                    <w:p w14:paraId="5E461BA6" w14:textId="77777777" w:rsidR="00D5264F" w:rsidRPr="00AF0DAE" w:rsidRDefault="00D5264F" w:rsidP="00D5264F">
                      <w:pPr>
                        <w:pStyle w:val="PIFlietext"/>
                        <w:suppressAutoHyphens/>
                        <w:ind w:right="-2"/>
                      </w:pPr>
                      <w:r w:rsidRPr="00AF0DAE">
                        <w:t>(</w:t>
                      </w:r>
                      <w:r>
                        <w:t>2.791</w:t>
                      </w:r>
                      <w:r w:rsidRPr="00AF0DAE">
                        <w:t xml:space="preserve"> Zeichen)</w:t>
                      </w:r>
                    </w:p>
                    <w:p w14:paraId="6379B9B2" w14:textId="77777777" w:rsidR="00C23BE5" w:rsidRDefault="00C23BE5" w:rsidP="00AC19EA">
                      <w:pPr>
                        <w:widowControl w:val="0"/>
                        <w:spacing w:after="120" w:line="280" w:lineRule="exact"/>
                        <w:contextualSpacing/>
                        <w:rPr>
                          <w:rFonts w:ascii="Arial" w:hAnsi="Arial"/>
                        </w:rPr>
                      </w:pPr>
                    </w:p>
                    <w:p w14:paraId="4FD5C791" w14:textId="77777777" w:rsidR="00AC19EA" w:rsidRDefault="00AC19EA" w:rsidP="00AC19EA">
                      <w:pPr>
                        <w:widowControl w:val="0"/>
                        <w:spacing w:after="120" w:line="280" w:lineRule="exact"/>
                        <w:contextualSpacing/>
                        <w:rPr>
                          <w:rFonts w:ascii="Arial" w:hAnsi="Arial"/>
                        </w:rPr>
                      </w:pPr>
                    </w:p>
                    <w:p w14:paraId="5755E0B6" w14:textId="77777777" w:rsidR="00AC19EA" w:rsidRPr="00D5264F" w:rsidRDefault="00C23BE5" w:rsidP="00AC19EA">
                      <w:pPr>
                        <w:widowControl w:val="0"/>
                        <w:spacing w:after="120" w:line="280" w:lineRule="exact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526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Bildmaterial</w:t>
                      </w:r>
                    </w:p>
                    <w:p w14:paraId="149A9A8F" w14:textId="77777777" w:rsidR="00AC19EA" w:rsidRPr="00D5264F" w:rsidRDefault="00AC19EA" w:rsidP="00AC19EA">
                      <w:pPr>
                        <w:widowControl w:val="0"/>
                        <w:spacing w:after="120" w:line="280" w:lineRule="exact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A281DC5" w14:textId="09E2F117" w:rsidR="00C23BE5" w:rsidRPr="00D5264F" w:rsidRDefault="00C23BE5" w:rsidP="00AC19EA">
                      <w:pPr>
                        <w:widowControl w:val="0"/>
                        <w:spacing w:after="120" w:line="280" w:lineRule="exact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26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Bild 1:</w:t>
                      </w:r>
                      <w:r w:rsidRPr="00D5264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5264F" w:rsidRPr="00D5264F">
                        <w:rPr>
                          <w:rFonts w:ascii="Arial" w:hAnsi="Arial" w:cs="Arial"/>
                          <w:sz w:val="18"/>
                          <w:szCs w:val="18"/>
                        </w:rPr>
                        <w:t>(fri171622350): Energieeffizient: Mit dem Open19-Rack bietet Rittal eine Gleichstrom-Lösung auf der gängigen 19“-Rack Basis. Die Anschlüsse werden nicht auf eine zentrale Stromschiene an der Rückseite des Schrankes adaptiert, sondern über einen speziellen Kabelbaum auf der Rückseite mit den Power-</w:t>
                      </w:r>
                      <w:proofErr w:type="spellStart"/>
                      <w:r w:rsidR="00D5264F" w:rsidRPr="00D5264F">
                        <w:rPr>
                          <w:rFonts w:ascii="Arial" w:hAnsi="Arial" w:cs="Arial"/>
                          <w:sz w:val="18"/>
                          <w:szCs w:val="18"/>
                        </w:rPr>
                        <w:t>Shelves</w:t>
                      </w:r>
                      <w:proofErr w:type="spellEnd"/>
                      <w:r w:rsidR="00D5264F" w:rsidRPr="00D526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verbunden.</w:t>
                      </w:r>
                    </w:p>
                    <w:p w14:paraId="400ABC6C" w14:textId="77777777" w:rsidR="00AC19EA" w:rsidRPr="00D5264F" w:rsidRDefault="00AC19EA" w:rsidP="00AC19EA">
                      <w:pPr>
                        <w:widowControl w:val="0"/>
                        <w:spacing w:after="120" w:line="280" w:lineRule="exact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CD18A42" w14:textId="77777777" w:rsidR="00D5264F" w:rsidRPr="00C33F4D" w:rsidRDefault="00C23BE5" w:rsidP="00D5264F">
                      <w:pPr>
                        <w:pStyle w:val="PIAbspann"/>
                        <w:ind w:right="-2"/>
                      </w:pPr>
                      <w:r w:rsidRPr="00D5264F">
                        <w:rPr>
                          <w:b/>
                          <w:szCs w:val="18"/>
                        </w:rPr>
                        <w:t>Bild 2:</w:t>
                      </w:r>
                      <w:r w:rsidRPr="00D5264F">
                        <w:rPr>
                          <w:szCs w:val="18"/>
                        </w:rPr>
                        <w:tab/>
                        <w:t xml:space="preserve"> </w:t>
                      </w:r>
                      <w:r w:rsidR="00D5264F">
                        <w:t>(</w:t>
                      </w:r>
                      <w:r w:rsidR="00D5264F" w:rsidRPr="00860511">
                        <w:t>fri161604800</w:t>
                      </w:r>
                      <w:r w:rsidR="00D5264F">
                        <w:t>)</w:t>
                      </w:r>
                      <w:r w:rsidR="00D5264F" w:rsidRPr="00C33F4D">
                        <w:t>: „</w:t>
                      </w:r>
                      <w:r w:rsidR="00D5264F">
                        <w:t xml:space="preserve">Aufgrund der steigenden Energiekosten nutzen wir alle Möglichkeiten für mehr Energieeffizienz zugunsten unserer Kunden. Dies unterstreichen wir mit unserem Beitritt in die Open19 </w:t>
                      </w:r>
                      <w:proofErr w:type="spellStart"/>
                      <w:r w:rsidR="00D5264F">
                        <w:t>Foundation</w:t>
                      </w:r>
                      <w:proofErr w:type="spellEnd"/>
                      <w:r w:rsidR="00D5264F">
                        <w:t xml:space="preserve">, in der wir aktiv innovative Rack-Architekturen mitgestalten.“, </w:t>
                      </w:r>
                      <w:r w:rsidR="00D5264F" w:rsidRPr="00C33F4D">
                        <w:t xml:space="preserve">sagt Jason </w:t>
                      </w:r>
                      <w:proofErr w:type="spellStart"/>
                      <w:r w:rsidR="00D5264F" w:rsidRPr="00C33F4D">
                        <w:t>Rylands</w:t>
                      </w:r>
                      <w:proofErr w:type="spellEnd"/>
                      <w:r w:rsidR="00D5264F" w:rsidRPr="00C33F4D">
                        <w:t xml:space="preserve">, Global </w:t>
                      </w:r>
                      <w:proofErr w:type="spellStart"/>
                      <w:r w:rsidR="00D5264F" w:rsidRPr="00C33F4D">
                        <w:t>Director</w:t>
                      </w:r>
                      <w:proofErr w:type="spellEnd"/>
                      <w:r w:rsidR="00D5264F" w:rsidRPr="00C33F4D">
                        <w:t xml:space="preserve"> Data Center und Open </w:t>
                      </w:r>
                      <w:proofErr w:type="spellStart"/>
                      <w:r w:rsidR="00D5264F" w:rsidRPr="00C33F4D">
                        <w:t>Compute</w:t>
                      </w:r>
                      <w:proofErr w:type="spellEnd"/>
                      <w:r w:rsidR="00D5264F" w:rsidRPr="00C33F4D">
                        <w:t xml:space="preserve"> bei Rittal.</w:t>
                      </w:r>
                    </w:p>
                    <w:p w14:paraId="76EB5B5D" w14:textId="14E4E929" w:rsidR="00C23BE5" w:rsidRPr="00D5264F" w:rsidRDefault="00C23BE5" w:rsidP="00AC19EA">
                      <w:pPr>
                        <w:widowControl w:val="0"/>
                        <w:spacing w:after="120" w:line="280" w:lineRule="exact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E1D00B6" w14:textId="77777777" w:rsidR="00AC19EA" w:rsidRDefault="00AC19EA" w:rsidP="00AC19EA">
                      <w:pPr>
                        <w:widowControl w:val="0"/>
                        <w:spacing w:after="120" w:line="280" w:lineRule="exact"/>
                        <w:contextualSpacing/>
                        <w:rPr>
                          <w:rFonts w:ascii="Arial" w:hAnsi="Arial"/>
                        </w:rPr>
                      </w:pPr>
                    </w:p>
                    <w:p w14:paraId="79B11EC1" w14:textId="77777777" w:rsidR="00C23BE5" w:rsidRPr="002427FE" w:rsidRDefault="00C23BE5" w:rsidP="00AC19EA">
                      <w:pPr>
                        <w:widowControl w:val="0"/>
                        <w:spacing w:after="120" w:line="280" w:lineRule="exact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27FE">
                        <w:rPr>
                          <w:rFonts w:ascii="Arial" w:hAnsi="Arial" w:cs="Arial"/>
                          <w:sz w:val="18"/>
                          <w:szCs w:val="18"/>
                        </w:rPr>
                        <w:t>Abdruck honorarfrei. Bitte geben Sie als Quelle Rittal GmbH.</w:t>
                      </w:r>
                    </w:p>
                    <w:p w14:paraId="1AF5CDBF" w14:textId="77777777" w:rsidR="00C23BE5" w:rsidRDefault="00C23BE5" w:rsidP="00AC19EA">
                      <w:pPr>
                        <w:widowControl w:val="0"/>
                        <w:spacing w:after="120" w:line="280" w:lineRule="exact"/>
                        <w:contextualSpacing/>
                      </w:pPr>
                      <w:r w:rsidRPr="002427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Weitere Informationen finden Sie unter </w:t>
                      </w:r>
                      <w:hyperlink r:id="rId8" w:history="1">
                        <w:r w:rsidRPr="002427FE">
                          <w:rPr>
                            <w:rStyle w:val="Link"/>
                            <w:rFonts w:ascii="Arial" w:hAnsi="Arial" w:cs="Arial"/>
                            <w:sz w:val="18"/>
                            <w:szCs w:val="18"/>
                          </w:rPr>
                          <w:t>www.rittal.at</w:t>
                        </w:r>
                      </w:hyperlink>
                      <w:r w:rsidRPr="002427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und unter Rittal </w:t>
                      </w:r>
                      <w:hyperlink r:id="rId9" w:history="1">
                        <w:r w:rsidRPr="002427FE">
                          <w:rPr>
                            <w:rStyle w:val="Link"/>
                            <w:rFonts w:ascii="Arial" w:hAnsi="Arial" w:cs="Arial"/>
                            <w:sz w:val="18"/>
                            <w:szCs w:val="18"/>
                          </w:rPr>
                          <w:t>Pressemeldungen</w:t>
                        </w:r>
                      </w:hyperlink>
                    </w:p>
                    <w:p w14:paraId="62E2E722" w14:textId="77777777" w:rsidR="00C23BE5" w:rsidRDefault="00C23BE5" w:rsidP="00AC19EA">
                      <w:pPr>
                        <w:widowControl w:val="0"/>
                        <w:spacing w:after="120" w:line="280" w:lineRule="exact"/>
                        <w:contextualSpacing/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00DD37EA" w14:textId="77777777" w:rsidR="00C23BE5" w:rsidRDefault="00C23BE5"/>
    <w:p w14:paraId="41B6CC85" w14:textId="77777777" w:rsidR="00C23BE5" w:rsidRDefault="00C23BE5"/>
    <w:p w14:paraId="1CD0F338" w14:textId="77777777" w:rsidR="00C23BE5" w:rsidRDefault="00C23BE5"/>
    <w:p w14:paraId="170F75AD" w14:textId="77777777" w:rsidR="00C23BE5" w:rsidRDefault="00C23BE5"/>
    <w:p w14:paraId="47222884" w14:textId="77777777" w:rsidR="00C23BE5" w:rsidRDefault="00C23BE5"/>
    <w:p w14:paraId="0479326A" w14:textId="77777777" w:rsidR="00C23BE5" w:rsidRDefault="00C23BE5"/>
    <w:p w14:paraId="388FB38C" w14:textId="77777777" w:rsidR="00C23BE5" w:rsidRDefault="00C23BE5"/>
    <w:p w14:paraId="7BE7CDAF" w14:textId="77777777" w:rsidR="00C23BE5" w:rsidRDefault="00C23BE5"/>
    <w:p w14:paraId="06CAABE3" w14:textId="77777777" w:rsidR="00C23BE5" w:rsidRDefault="00C23BE5"/>
    <w:p w14:paraId="2830D9F1" w14:textId="77777777" w:rsidR="00C23BE5" w:rsidRDefault="00C23BE5"/>
    <w:p w14:paraId="7525A80C" w14:textId="77777777" w:rsidR="00C23BE5" w:rsidRDefault="00C23BE5"/>
    <w:p w14:paraId="40ACC8B9" w14:textId="77777777" w:rsidR="00C23BE5" w:rsidRDefault="00C23BE5"/>
    <w:p w14:paraId="3F9D3E7E" w14:textId="77777777" w:rsidR="00C23BE5" w:rsidRDefault="00C23BE5"/>
    <w:p w14:paraId="0E734716" w14:textId="77777777" w:rsidR="00C23BE5" w:rsidRDefault="00623432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9149B" wp14:editId="7E6856B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1695" cy="7901305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790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149B" id="Textfeld 7" o:spid="_x0000_s1028" type="#_x0000_t202" style="position:absolute;margin-left:-9pt;margin-top:0;width:467.85pt;height:6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C23BE5" w:rsidSect="00025486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C6FD" w14:textId="77777777" w:rsidR="00EB6B2F" w:rsidRDefault="00EB6B2F" w:rsidP="00C23BE5">
      <w:pPr>
        <w:spacing w:after="0" w:line="240" w:lineRule="auto"/>
      </w:pPr>
      <w:r>
        <w:separator/>
      </w:r>
    </w:p>
  </w:endnote>
  <w:endnote w:type="continuationSeparator" w:id="0">
    <w:p w14:paraId="7A1160BE" w14:textId="77777777" w:rsidR="00EB6B2F" w:rsidRDefault="00EB6B2F" w:rsidP="00C2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107F" w14:textId="3C46C24A" w:rsidR="00D5264F" w:rsidRDefault="00D5264F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986D6C" wp14:editId="4FAA8839">
          <wp:simplePos x="0" y="0"/>
          <wp:positionH relativeFrom="page">
            <wp:posOffset>899795</wp:posOffset>
          </wp:positionH>
          <wp:positionV relativeFrom="page">
            <wp:posOffset>10057765</wp:posOffset>
          </wp:positionV>
          <wp:extent cx="1767840" cy="93345"/>
          <wp:effectExtent l="0" t="0" r="3810" b="1905"/>
          <wp:wrapNone/>
          <wp:docPr id="1" name="Bild 9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A16E3" w14:textId="77777777" w:rsidR="00EB6B2F" w:rsidRDefault="00EB6B2F" w:rsidP="00C23BE5">
      <w:pPr>
        <w:spacing w:after="0" w:line="240" w:lineRule="auto"/>
      </w:pPr>
      <w:r>
        <w:separator/>
      </w:r>
    </w:p>
  </w:footnote>
  <w:footnote w:type="continuationSeparator" w:id="0">
    <w:p w14:paraId="7EBFE536" w14:textId="77777777" w:rsidR="00EB6B2F" w:rsidRDefault="00EB6B2F" w:rsidP="00C2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575B" w14:textId="77777777" w:rsidR="00C23BE5" w:rsidRDefault="00C23BE5" w:rsidP="00C23BE5">
    <w:pPr>
      <w:pStyle w:val="Kopfzeile"/>
      <w:tabs>
        <w:tab w:val="clear" w:pos="9072"/>
        <w:tab w:val="right" w:pos="9066"/>
      </w:tabs>
      <w:rPr>
        <w:rFonts w:ascii="Arial" w:hAnsi="Arial"/>
        <w:b/>
        <w:i/>
        <w:sz w:val="32"/>
      </w:rPr>
    </w:pPr>
    <w:r>
      <w:rPr>
        <w:rFonts w:ascii="Arial" w:hAnsi="Arial"/>
        <w:noProof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70FF859D" wp14:editId="15B5CCC7">
          <wp:simplePos x="0" y="0"/>
          <wp:positionH relativeFrom="column">
            <wp:posOffset>5029835</wp:posOffset>
          </wp:positionH>
          <wp:positionV relativeFrom="paragraph">
            <wp:posOffset>5715</wp:posOffset>
          </wp:positionV>
          <wp:extent cx="690245" cy="920115"/>
          <wp:effectExtent l="0" t="0" r="0" b="0"/>
          <wp:wrapTight wrapText="bothSides">
            <wp:wrapPolygon edited="0">
              <wp:start x="0" y="0"/>
              <wp:lineTo x="0" y="20870"/>
              <wp:lineTo x="20666" y="20870"/>
              <wp:lineTo x="20666" y="0"/>
              <wp:lineTo x="0" y="0"/>
            </wp:wrapPolygon>
          </wp:wrapTight>
          <wp:docPr id="3" name="Grafik 46" descr="Rittal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ttal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sz w:val="32"/>
      </w:rPr>
      <w:t>Presse-Information</w:t>
    </w:r>
  </w:p>
  <w:p w14:paraId="7F0705E9" w14:textId="77777777" w:rsidR="00C23BE5" w:rsidRPr="0087345C" w:rsidRDefault="00C23BE5" w:rsidP="00C23BE5">
    <w:pPr>
      <w:pStyle w:val="Kopfzeile"/>
      <w:rPr>
        <w:lang w:val="en-US"/>
      </w:rPr>
    </w:pPr>
    <w:proofErr w:type="spellStart"/>
    <w:r w:rsidRPr="00EA6BC8">
      <w:rPr>
        <w:rFonts w:ascii="Arial" w:hAnsi="Arial"/>
        <w:lang w:val="en-US"/>
      </w:rPr>
      <w:t>Ritta</w:t>
    </w:r>
    <w:r>
      <w:rPr>
        <w:rFonts w:ascii="Arial" w:hAnsi="Arial"/>
        <w:lang w:val="en-US"/>
      </w:rPr>
      <w:t>l</w:t>
    </w:r>
    <w:proofErr w:type="spellEnd"/>
    <w:r>
      <w:rPr>
        <w:rFonts w:ascii="Arial" w:hAnsi="Arial"/>
        <w:lang w:val="en-US"/>
      </w:rPr>
      <w:t xml:space="preserve"> GmbH</w:t>
    </w:r>
  </w:p>
  <w:p w14:paraId="4B7AC344" w14:textId="77777777" w:rsidR="00C23BE5" w:rsidRDefault="00C23BE5" w:rsidP="00C23BE5">
    <w:pPr>
      <w:pStyle w:val="Kopfzeile"/>
    </w:pPr>
  </w:p>
  <w:p w14:paraId="3FA1D8DA" w14:textId="77777777" w:rsidR="00C23BE5" w:rsidRDefault="00C23BE5" w:rsidP="00C23BE5">
    <w:pPr>
      <w:pStyle w:val="Kopfzeile"/>
    </w:pPr>
  </w:p>
  <w:p w14:paraId="3F08F22C" w14:textId="77777777" w:rsidR="00C23BE5" w:rsidRDefault="00C23BE5" w:rsidP="00C23BE5">
    <w:pPr>
      <w:pStyle w:val="Kopfzeile"/>
    </w:pPr>
  </w:p>
  <w:p w14:paraId="553F46B1" w14:textId="77777777" w:rsidR="00C23BE5" w:rsidRDefault="00C23B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E5"/>
    <w:rsid w:val="00025486"/>
    <w:rsid w:val="00344F34"/>
    <w:rsid w:val="005F6E59"/>
    <w:rsid w:val="00623432"/>
    <w:rsid w:val="00687E01"/>
    <w:rsid w:val="009F7A71"/>
    <w:rsid w:val="00A37346"/>
    <w:rsid w:val="00AC19EA"/>
    <w:rsid w:val="00AD58A2"/>
    <w:rsid w:val="00C23BE5"/>
    <w:rsid w:val="00C72C91"/>
    <w:rsid w:val="00C759EE"/>
    <w:rsid w:val="00CA23CD"/>
    <w:rsid w:val="00D5264F"/>
    <w:rsid w:val="00E673CC"/>
    <w:rsid w:val="00EB6B2F"/>
    <w:rsid w:val="00F14925"/>
    <w:rsid w:val="00F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2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23BE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23BE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rsid w:val="00C23BE5"/>
  </w:style>
  <w:style w:type="paragraph" w:styleId="Fuzeile">
    <w:name w:val="footer"/>
    <w:basedOn w:val="Standard"/>
    <w:link w:val="FuzeileZchn"/>
    <w:uiPriority w:val="99"/>
    <w:unhideWhenUsed/>
    <w:rsid w:val="00C23BE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23BE5"/>
  </w:style>
  <w:style w:type="paragraph" w:styleId="Textkrper-Zeileneinzug">
    <w:name w:val="Body Text Indent"/>
    <w:basedOn w:val="Standard"/>
    <w:link w:val="Textkrper-ZeileneinzugZchn"/>
    <w:rsid w:val="00C23BE5"/>
    <w:pPr>
      <w:spacing w:after="0" w:line="480" w:lineRule="auto"/>
      <w:ind w:firstLine="180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23BE5"/>
    <w:rPr>
      <w:rFonts w:ascii="Arial" w:eastAsia="Times New Roman" w:hAnsi="Arial" w:cs="Arial"/>
      <w:lang w:eastAsia="de-DE"/>
    </w:rPr>
  </w:style>
  <w:style w:type="character" w:styleId="Link">
    <w:name w:val="Hyperlink"/>
    <w:rsid w:val="00C23BE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7E01"/>
    <w:rPr>
      <w:color w:val="954F72" w:themeColor="followedHyperlink"/>
      <w:u w:val="single"/>
    </w:rPr>
  </w:style>
  <w:style w:type="paragraph" w:customStyle="1" w:styleId="p1">
    <w:name w:val="p1"/>
    <w:basedOn w:val="Standard"/>
    <w:rsid w:val="00AC19EA"/>
    <w:pPr>
      <w:spacing w:after="0" w:line="240" w:lineRule="auto"/>
      <w:jc w:val="right"/>
    </w:pPr>
    <w:rPr>
      <w:rFonts w:ascii="Arial" w:hAnsi="Arial" w:cs="Arial"/>
      <w:sz w:val="14"/>
      <w:szCs w:val="14"/>
      <w:lang w:val="de-DE" w:eastAsia="de-DE"/>
    </w:rPr>
  </w:style>
  <w:style w:type="paragraph" w:customStyle="1" w:styleId="p2">
    <w:name w:val="p2"/>
    <w:basedOn w:val="Standard"/>
    <w:rsid w:val="00AC19EA"/>
    <w:pPr>
      <w:spacing w:after="0" w:line="240" w:lineRule="auto"/>
      <w:jc w:val="right"/>
    </w:pPr>
    <w:rPr>
      <w:rFonts w:ascii="Arial" w:hAnsi="Arial" w:cs="Arial"/>
      <w:sz w:val="14"/>
      <w:szCs w:val="14"/>
      <w:lang w:val="de-DE" w:eastAsia="de-DE"/>
    </w:rPr>
  </w:style>
  <w:style w:type="character" w:customStyle="1" w:styleId="apple-converted-space">
    <w:name w:val="apple-converted-space"/>
    <w:basedOn w:val="Absatz-Standardschriftart"/>
    <w:rsid w:val="00AC19EA"/>
  </w:style>
  <w:style w:type="paragraph" w:customStyle="1" w:styleId="PIDachzeile">
    <w:name w:val="PI Dachzeile"/>
    <w:basedOn w:val="Standard"/>
    <w:rsid w:val="00D5264F"/>
    <w:pPr>
      <w:spacing w:after="240" w:line="240" w:lineRule="auto"/>
    </w:pPr>
    <w:rPr>
      <w:rFonts w:ascii="Arial" w:eastAsia="Times New Roman" w:hAnsi="Arial" w:cs="Arial"/>
      <w:i/>
      <w:iCs/>
      <w:szCs w:val="24"/>
      <w:u w:val="single"/>
      <w:lang w:val="de-DE" w:eastAsia="de-DE"/>
    </w:rPr>
  </w:style>
  <w:style w:type="paragraph" w:customStyle="1" w:styleId="PIberschrift">
    <w:name w:val="PI Überschrift"/>
    <w:basedOn w:val="Standard"/>
    <w:rsid w:val="00D5264F"/>
    <w:pPr>
      <w:spacing w:after="240" w:line="240" w:lineRule="auto"/>
      <w:ind w:right="3493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customStyle="1" w:styleId="PIFlietext">
    <w:name w:val="PI Fließtext"/>
    <w:basedOn w:val="Standard"/>
    <w:rsid w:val="00D5264F"/>
    <w:pPr>
      <w:spacing w:after="240" w:line="312" w:lineRule="auto"/>
      <w:ind w:right="3493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PIAbspann">
    <w:name w:val="PI Abspann"/>
    <w:basedOn w:val="Standard"/>
    <w:rsid w:val="00D5264F"/>
    <w:pPr>
      <w:spacing w:after="240" w:line="312" w:lineRule="auto"/>
      <w:ind w:right="3493"/>
    </w:pPr>
    <w:rPr>
      <w:rFonts w:ascii="Arial" w:eastAsia="Times New Roman" w:hAnsi="Arial" w:cs="Arial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rittal.com/at-de/content/de/start/index.jsp" TargetMode="External"/><Relationship Id="rId7" Type="http://schemas.openxmlformats.org/officeDocument/2006/relationships/hyperlink" Target="https://www.rittal.com/at-de/content/de/unternehmen/presse/pressemeldungen/pressemeldungen.jsp" TargetMode="External"/><Relationship Id="rId8" Type="http://schemas.openxmlformats.org/officeDocument/2006/relationships/hyperlink" Target="https://www.rittal.com/at-de/content/de/start/index.jsp" TargetMode="External"/><Relationship Id="rId9" Type="http://schemas.openxmlformats.org/officeDocument/2006/relationships/hyperlink" Target="https://www.rittal.com/at-de/content/de/unternehmen/presse/pressemeldungen/pressemeldungen.jsp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Casagrande</dc:creator>
  <cp:keywords/>
  <dc:description/>
  <cp:lastModifiedBy>Susanne Casagrande</cp:lastModifiedBy>
  <cp:revision>4</cp:revision>
  <dcterms:created xsi:type="dcterms:W3CDTF">2017-09-07T18:23:00Z</dcterms:created>
  <dcterms:modified xsi:type="dcterms:W3CDTF">2017-09-08T05:53:00Z</dcterms:modified>
</cp:coreProperties>
</file>