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F8247" w14:textId="7AB88015" w:rsidR="001555FF" w:rsidRPr="0038728D" w:rsidRDefault="001555FF" w:rsidP="00A36608">
      <w:pPr>
        <w:pStyle w:val="berschrift-H1"/>
        <w:rPr>
          <w:b w:val="0"/>
          <w:sz w:val="20"/>
          <w:lang w:val="es-ES"/>
        </w:rPr>
      </w:pPr>
      <w:r w:rsidRPr="0038728D">
        <w:rPr>
          <w:b w:val="0"/>
          <w:sz w:val="20"/>
          <w:lang w:val="es-ES"/>
        </w:rPr>
        <w:t>Soluciones escalables para arquitecturas de centros de datos impulsadas por IA</w:t>
      </w:r>
    </w:p>
    <w:p w14:paraId="5FE6EF9D" w14:textId="5B84C099" w:rsidR="001555FF" w:rsidRPr="0038728D" w:rsidRDefault="001555FF" w:rsidP="001555FF">
      <w:pPr>
        <w:pStyle w:val="Ort-Datum"/>
        <w:spacing w:after="0"/>
        <w:rPr>
          <w:b/>
          <w:sz w:val="28"/>
          <w:szCs w:val="28"/>
          <w:lang w:val="es-ES"/>
        </w:rPr>
      </w:pPr>
      <w:r w:rsidRPr="0038728D">
        <w:rPr>
          <w:b/>
          <w:sz w:val="28"/>
          <w:szCs w:val="28"/>
          <w:lang w:val="es-ES"/>
        </w:rPr>
        <w:t xml:space="preserve">Rittal en </w:t>
      </w:r>
      <w:r w:rsidR="0038728D">
        <w:rPr>
          <w:b/>
          <w:sz w:val="28"/>
          <w:szCs w:val="28"/>
          <w:lang w:val="es-ES"/>
        </w:rPr>
        <w:t>el</w:t>
      </w:r>
      <w:r w:rsidRPr="0038728D">
        <w:rPr>
          <w:b/>
          <w:sz w:val="28"/>
          <w:szCs w:val="28"/>
          <w:lang w:val="es-ES"/>
        </w:rPr>
        <w:t xml:space="preserve"> OCP EMEA</w:t>
      </w:r>
      <w:r w:rsidR="0038728D">
        <w:rPr>
          <w:b/>
          <w:sz w:val="28"/>
          <w:szCs w:val="28"/>
          <w:lang w:val="es-ES"/>
        </w:rPr>
        <w:t xml:space="preserve"> Summit</w:t>
      </w:r>
      <w:r w:rsidRPr="0038728D">
        <w:rPr>
          <w:b/>
          <w:sz w:val="28"/>
          <w:szCs w:val="28"/>
          <w:lang w:val="es-ES"/>
        </w:rPr>
        <w:t xml:space="preserve"> 2026</w:t>
      </w:r>
    </w:p>
    <w:p w14:paraId="76C22773" w14:textId="3F6A4F09" w:rsidR="001555FF" w:rsidRPr="0038728D" w:rsidRDefault="001555FF" w:rsidP="001555FF">
      <w:pPr>
        <w:pStyle w:val="Ort-Datum"/>
        <w:rPr>
          <w:b/>
          <w:sz w:val="28"/>
          <w:szCs w:val="28"/>
          <w:lang w:val="es-ES"/>
        </w:rPr>
      </w:pPr>
      <w:r w:rsidRPr="0038728D">
        <w:rPr>
          <w:b/>
          <w:sz w:val="28"/>
          <w:szCs w:val="28"/>
          <w:lang w:val="es-ES"/>
        </w:rPr>
        <w:t xml:space="preserve">La era de la IA </w:t>
      </w:r>
      <w:r w:rsidR="0038728D">
        <w:rPr>
          <w:b/>
          <w:sz w:val="28"/>
          <w:szCs w:val="28"/>
          <w:lang w:val="es-ES"/>
        </w:rPr>
        <w:t>exige</w:t>
      </w:r>
      <w:r w:rsidRPr="0038728D">
        <w:rPr>
          <w:b/>
          <w:sz w:val="28"/>
          <w:szCs w:val="28"/>
          <w:lang w:val="es-ES"/>
        </w:rPr>
        <w:t xml:space="preserve"> infraestructura</w:t>
      </w:r>
      <w:r w:rsidR="0038728D">
        <w:rPr>
          <w:b/>
          <w:sz w:val="28"/>
          <w:szCs w:val="28"/>
          <w:lang w:val="es-ES"/>
        </w:rPr>
        <w:t>s</w:t>
      </w:r>
      <w:r w:rsidRPr="0038728D">
        <w:rPr>
          <w:b/>
          <w:sz w:val="28"/>
          <w:szCs w:val="28"/>
          <w:lang w:val="es-ES"/>
        </w:rPr>
        <w:t xml:space="preserve"> estandarizada</w:t>
      </w:r>
      <w:r w:rsidR="0038728D">
        <w:rPr>
          <w:b/>
          <w:sz w:val="28"/>
          <w:szCs w:val="28"/>
          <w:lang w:val="es-ES"/>
        </w:rPr>
        <w:t>s</w:t>
      </w:r>
    </w:p>
    <w:p w14:paraId="7D58163D" w14:textId="388FA061" w:rsidR="0070375D" w:rsidRPr="0038728D" w:rsidRDefault="0070375D" w:rsidP="001555FF">
      <w:pPr>
        <w:pStyle w:val="Ort-Datum"/>
        <w:rPr>
          <w:lang w:val="es-ES"/>
        </w:rPr>
      </w:pPr>
      <w:r w:rsidRPr="0038728D">
        <w:rPr>
          <w:lang w:val="es-ES"/>
        </w:rPr>
        <w:t>Herborn/Barcelona, 29 de abril de 2026</w:t>
      </w:r>
    </w:p>
    <w:p w14:paraId="375A0B36" w14:textId="7D9F0BB8" w:rsidR="0070375D" w:rsidRPr="0038728D" w:rsidRDefault="0070375D" w:rsidP="0070375D">
      <w:pPr>
        <w:pStyle w:val="Copytext"/>
        <w:jc w:val="both"/>
        <w:rPr>
          <w:b/>
          <w:bCs w:val="0"/>
          <w:lang w:val="es-ES"/>
        </w:rPr>
      </w:pPr>
      <w:r w:rsidRPr="0038728D">
        <w:rPr>
          <w:b/>
          <w:bCs w:val="0"/>
          <w:lang w:val="es-ES"/>
        </w:rPr>
        <w:t xml:space="preserve">La rápida expansión de la inteligencia artificial (IA) está dando </w:t>
      </w:r>
      <w:r w:rsidR="0038728D">
        <w:rPr>
          <w:b/>
          <w:bCs w:val="0"/>
          <w:lang w:val="es-ES"/>
        </w:rPr>
        <w:t>paso</w:t>
      </w:r>
      <w:r w:rsidRPr="0038728D">
        <w:rPr>
          <w:b/>
          <w:bCs w:val="0"/>
          <w:lang w:val="es-ES"/>
        </w:rPr>
        <w:t xml:space="preserve"> a una nueva era para la infraestructura de centros de datos en todo el mundo. Una mayor potencia de cálculo, densidades de </w:t>
      </w:r>
      <w:r w:rsidR="0038728D">
        <w:rPr>
          <w:b/>
          <w:bCs w:val="0"/>
          <w:lang w:val="es-ES"/>
        </w:rPr>
        <w:t>potencia más elevadas</w:t>
      </w:r>
      <w:r w:rsidRPr="0038728D">
        <w:rPr>
          <w:b/>
          <w:bCs w:val="0"/>
          <w:lang w:val="es-ES"/>
        </w:rPr>
        <w:t xml:space="preserve"> y </w:t>
      </w:r>
      <w:r w:rsidR="0038728D">
        <w:rPr>
          <w:b/>
          <w:bCs w:val="0"/>
          <w:lang w:val="es-ES"/>
        </w:rPr>
        <w:t>requisitos totalmente nuevos en materia</w:t>
      </w:r>
      <w:r w:rsidRPr="0038728D">
        <w:rPr>
          <w:b/>
          <w:bCs w:val="0"/>
          <w:lang w:val="es-ES"/>
        </w:rPr>
        <w:t xml:space="preserve"> de refrigeración y suministro eléctrico requieren nuevas arquitecturas y un uso cada vez mayor de la energía de corriente continua. En </w:t>
      </w:r>
      <w:r w:rsidR="0038728D">
        <w:rPr>
          <w:b/>
          <w:bCs w:val="0"/>
          <w:lang w:val="es-ES"/>
        </w:rPr>
        <w:t xml:space="preserve">el </w:t>
      </w:r>
      <w:r w:rsidRPr="0038728D">
        <w:rPr>
          <w:b/>
          <w:bCs w:val="0"/>
          <w:lang w:val="es-ES"/>
        </w:rPr>
        <w:t xml:space="preserve">OCP EMEA </w:t>
      </w:r>
      <w:r w:rsidR="0038728D">
        <w:rPr>
          <w:b/>
          <w:bCs w:val="0"/>
          <w:lang w:val="es-ES"/>
        </w:rPr>
        <w:t xml:space="preserve">Summit </w:t>
      </w:r>
      <w:r w:rsidRPr="0038728D">
        <w:rPr>
          <w:b/>
          <w:bCs w:val="0"/>
          <w:lang w:val="es-ES"/>
        </w:rPr>
        <w:t xml:space="preserve">2026 en Barcelona (29–30 de abril), Rittal </w:t>
      </w:r>
      <w:r w:rsidR="0038728D">
        <w:rPr>
          <w:b/>
          <w:bCs w:val="0"/>
          <w:lang w:val="es-ES"/>
        </w:rPr>
        <w:t>ha presentado</w:t>
      </w:r>
      <w:r w:rsidRPr="0038728D">
        <w:rPr>
          <w:b/>
          <w:bCs w:val="0"/>
          <w:lang w:val="es-ES"/>
        </w:rPr>
        <w:t xml:space="preserve"> un concepto práctico para lograr esta transformación. El </w:t>
      </w:r>
      <w:r w:rsidR="0038728D">
        <w:rPr>
          <w:b/>
          <w:bCs w:val="0"/>
          <w:lang w:val="es-ES"/>
        </w:rPr>
        <w:t>foco se ha situado</w:t>
      </w:r>
      <w:r w:rsidRPr="0038728D">
        <w:rPr>
          <w:b/>
          <w:bCs w:val="0"/>
          <w:lang w:val="es-ES"/>
        </w:rPr>
        <w:t xml:space="preserve"> en una solución de infraestructura integrada que combin</w:t>
      </w:r>
      <w:r w:rsidR="0038728D">
        <w:rPr>
          <w:b/>
          <w:bCs w:val="0"/>
          <w:lang w:val="es-ES"/>
        </w:rPr>
        <w:t>a</w:t>
      </w:r>
      <w:r w:rsidRPr="0038728D">
        <w:rPr>
          <w:b/>
          <w:bCs w:val="0"/>
          <w:lang w:val="es-ES"/>
        </w:rPr>
        <w:t xml:space="preserve"> potencia de cálculo, refrigeración y suministro eléctrico como una unidad estandarizada, diseñada para aplicaciones de IA de alta densidad y computación de alto rendimiento con arquitectura OCP.</w:t>
      </w:r>
    </w:p>
    <w:p w14:paraId="57C45A7D" w14:textId="77777777" w:rsidR="001555FF" w:rsidRPr="0038728D" w:rsidRDefault="001555FF" w:rsidP="0070375D">
      <w:pPr>
        <w:pStyle w:val="Copytext"/>
        <w:jc w:val="both"/>
        <w:rPr>
          <w:b/>
          <w:bCs w:val="0"/>
          <w:lang w:val="es-ES"/>
        </w:rPr>
      </w:pPr>
    </w:p>
    <w:p w14:paraId="146CE392" w14:textId="1AF0D736" w:rsidR="0070375D" w:rsidRPr="0038728D" w:rsidRDefault="0070375D" w:rsidP="0070375D">
      <w:pPr>
        <w:pStyle w:val="Copytext"/>
        <w:jc w:val="both"/>
        <w:rPr>
          <w:lang w:val="es-ES"/>
        </w:rPr>
      </w:pPr>
      <w:r w:rsidRPr="0038728D">
        <w:rPr>
          <w:lang w:val="es-ES"/>
        </w:rPr>
        <w:t xml:space="preserve">La inteligencia artificial se está convirtiendo en un motor clave del crecimiento económico y está provocando que la demanda de infraestructuras de centros de datos de alto rendimiento aumente rápidamente a nivel mundial. Los conceptos convencionales ya han alcanzado sus límites físicos. Dentro del Open Compute Project (OCP), </w:t>
      </w:r>
      <w:proofErr w:type="spellStart"/>
      <w:r w:rsidR="0038728D" w:rsidRPr="0038728D">
        <w:rPr>
          <w:i/>
          <w:iCs/>
          <w:lang w:val="es-ES"/>
        </w:rPr>
        <w:t>hyperscalers</w:t>
      </w:r>
      <w:proofErr w:type="spellEnd"/>
      <w:r w:rsidRPr="0038728D">
        <w:rPr>
          <w:lang w:val="es-ES"/>
        </w:rPr>
        <w:t xml:space="preserve">, fabricantes </w:t>
      </w:r>
      <w:r w:rsidR="0038728D">
        <w:rPr>
          <w:lang w:val="es-ES"/>
        </w:rPr>
        <w:t xml:space="preserve">OEM </w:t>
      </w:r>
      <w:r w:rsidRPr="0038728D">
        <w:rPr>
          <w:lang w:val="es-ES"/>
        </w:rPr>
        <w:t xml:space="preserve">de servidores y otros actores relevantes </w:t>
      </w:r>
      <w:r w:rsidR="0038728D">
        <w:rPr>
          <w:lang w:val="es-ES"/>
        </w:rPr>
        <w:t xml:space="preserve">del sector </w:t>
      </w:r>
      <w:r w:rsidRPr="0038728D">
        <w:rPr>
          <w:lang w:val="es-ES"/>
        </w:rPr>
        <w:t>colaboran para desarrollar estándares abiertos y escalables para la infraestructura futura de centros de datos. Rittal está definiendo activamente estos estándares dentro de</w:t>
      </w:r>
      <w:r w:rsidR="0038728D">
        <w:rPr>
          <w:lang w:val="es-ES"/>
        </w:rPr>
        <w:t>l</w:t>
      </w:r>
      <w:r w:rsidRPr="0038728D">
        <w:rPr>
          <w:lang w:val="es-ES"/>
        </w:rPr>
        <w:t xml:space="preserve"> OCP y </w:t>
      </w:r>
      <w:r w:rsidR="0038728D">
        <w:rPr>
          <w:lang w:val="es-ES"/>
        </w:rPr>
        <w:t>ha presentado</w:t>
      </w:r>
      <w:r w:rsidRPr="0038728D">
        <w:rPr>
          <w:lang w:val="es-ES"/>
        </w:rPr>
        <w:t xml:space="preserve"> en </w:t>
      </w:r>
      <w:r w:rsidR="0038728D">
        <w:rPr>
          <w:lang w:val="es-ES"/>
        </w:rPr>
        <w:t>el</w:t>
      </w:r>
      <w:r w:rsidRPr="0038728D">
        <w:rPr>
          <w:lang w:val="es-ES"/>
        </w:rPr>
        <w:t xml:space="preserve"> OCP EMEA Summit </w:t>
      </w:r>
      <w:r w:rsidR="0038728D">
        <w:rPr>
          <w:lang w:val="es-ES"/>
        </w:rPr>
        <w:t>de</w:t>
      </w:r>
      <w:r w:rsidRPr="0038728D">
        <w:rPr>
          <w:lang w:val="es-ES"/>
        </w:rPr>
        <w:t xml:space="preserve"> Barcelona</w:t>
      </w:r>
      <w:r w:rsidR="0038728D">
        <w:rPr>
          <w:lang w:val="es-ES"/>
        </w:rPr>
        <w:t xml:space="preserve"> un concepto que ilustra</w:t>
      </w:r>
      <w:r w:rsidRPr="0038728D">
        <w:rPr>
          <w:lang w:val="es-ES"/>
        </w:rPr>
        <w:t xml:space="preserve"> el futuro de la infraestructura de </w:t>
      </w:r>
      <w:r w:rsidR="0038728D">
        <w:rPr>
          <w:lang w:val="es-ES"/>
        </w:rPr>
        <w:t xml:space="preserve">los </w:t>
      </w:r>
      <w:r w:rsidRPr="0038728D">
        <w:rPr>
          <w:lang w:val="es-ES"/>
        </w:rPr>
        <w:t>centros de datos.</w:t>
      </w:r>
    </w:p>
    <w:p w14:paraId="16C99F67" w14:textId="77777777" w:rsidR="00F454C3" w:rsidRPr="0038728D" w:rsidRDefault="00F454C3" w:rsidP="0070375D">
      <w:pPr>
        <w:pStyle w:val="Copytext"/>
        <w:jc w:val="both"/>
        <w:rPr>
          <w:lang w:val="es-ES"/>
        </w:rPr>
      </w:pPr>
    </w:p>
    <w:p w14:paraId="3063206C" w14:textId="77777777" w:rsidR="0070375D" w:rsidRPr="0015530B" w:rsidRDefault="0070375D" w:rsidP="0070375D">
      <w:pPr>
        <w:pStyle w:val="Copytext"/>
        <w:jc w:val="both"/>
        <w:rPr>
          <w:b/>
          <w:bCs w:val="0"/>
          <w:color w:val="auto"/>
          <w:lang w:val="pt-PT"/>
        </w:rPr>
      </w:pPr>
      <w:r w:rsidRPr="0015530B">
        <w:rPr>
          <w:b/>
          <w:bCs w:val="0"/>
          <w:color w:val="auto"/>
          <w:lang w:val="pt-PT"/>
        </w:rPr>
        <w:t xml:space="preserve">Potencia de cálculo de IA de </w:t>
      </w:r>
      <w:proofErr w:type="spellStart"/>
      <w:r w:rsidRPr="0015530B">
        <w:rPr>
          <w:b/>
          <w:bCs w:val="0"/>
          <w:color w:val="auto"/>
          <w:lang w:val="pt-PT"/>
        </w:rPr>
        <w:t>megavatios</w:t>
      </w:r>
      <w:proofErr w:type="spellEnd"/>
      <w:r w:rsidRPr="0015530B">
        <w:rPr>
          <w:b/>
          <w:bCs w:val="0"/>
          <w:color w:val="auto"/>
          <w:lang w:val="pt-PT"/>
        </w:rPr>
        <w:t xml:space="preserve"> como sistema </w:t>
      </w:r>
      <w:proofErr w:type="spellStart"/>
      <w:r w:rsidRPr="0015530B">
        <w:rPr>
          <w:b/>
          <w:bCs w:val="0"/>
          <w:color w:val="auto"/>
          <w:lang w:val="pt-PT"/>
        </w:rPr>
        <w:t>reproducible</w:t>
      </w:r>
      <w:proofErr w:type="spellEnd"/>
    </w:p>
    <w:p w14:paraId="65DF948B" w14:textId="0804F2BA" w:rsidR="0070375D" w:rsidRPr="0038728D" w:rsidRDefault="0070375D" w:rsidP="0070375D">
      <w:pPr>
        <w:pStyle w:val="Copytext"/>
        <w:jc w:val="both"/>
        <w:rPr>
          <w:lang w:val="es-ES"/>
        </w:rPr>
      </w:pPr>
      <w:r w:rsidRPr="0015530B">
        <w:rPr>
          <w:color w:val="auto"/>
          <w:lang w:val="es-ES"/>
        </w:rPr>
        <w:t xml:space="preserve">El </w:t>
      </w:r>
      <w:r w:rsidR="0038728D" w:rsidRPr="0015530B">
        <w:rPr>
          <w:color w:val="auto"/>
          <w:lang w:val="es-ES"/>
        </w:rPr>
        <w:t xml:space="preserve">foco se sitúa </w:t>
      </w:r>
      <w:r w:rsidRPr="0015530B">
        <w:rPr>
          <w:color w:val="auto"/>
          <w:lang w:val="es-ES"/>
        </w:rPr>
        <w:t>en un sistema de infraestructura compacto (</w:t>
      </w:r>
      <w:r w:rsidR="004911AD" w:rsidRPr="0015530B">
        <w:rPr>
          <w:color w:val="auto"/>
          <w:lang w:val="es-ES"/>
        </w:rPr>
        <w:t xml:space="preserve">POD, Performance </w:t>
      </w:r>
      <w:proofErr w:type="spellStart"/>
      <w:r w:rsidR="004911AD" w:rsidRPr="0015530B">
        <w:rPr>
          <w:color w:val="auto"/>
          <w:lang w:val="es-ES"/>
        </w:rPr>
        <w:t>Optimized</w:t>
      </w:r>
      <w:proofErr w:type="spellEnd"/>
      <w:r w:rsidR="004911AD" w:rsidRPr="0015530B">
        <w:rPr>
          <w:color w:val="auto"/>
          <w:lang w:val="es-ES"/>
        </w:rPr>
        <w:t xml:space="preserve"> Data Centers</w:t>
      </w:r>
      <w:r w:rsidRPr="0015530B">
        <w:rPr>
          <w:color w:val="auto"/>
          <w:lang w:val="es-ES"/>
        </w:rPr>
        <w:t>) que integra directamente la potencia de cálculo, la refrigeración directa de</w:t>
      </w:r>
      <w:r w:rsidR="0038728D" w:rsidRPr="0015530B">
        <w:rPr>
          <w:color w:val="auto"/>
          <w:lang w:val="es-ES"/>
        </w:rPr>
        <w:t xml:space="preserve"> los</w:t>
      </w:r>
      <w:r w:rsidRPr="0015530B">
        <w:rPr>
          <w:color w:val="auto"/>
          <w:lang w:val="es-ES"/>
        </w:rPr>
        <w:t xml:space="preserve"> chips </w:t>
      </w:r>
      <w:r w:rsidR="0038728D" w:rsidRPr="0015530B">
        <w:rPr>
          <w:color w:val="auto"/>
          <w:lang w:val="es-ES"/>
        </w:rPr>
        <w:t>mediante</w:t>
      </w:r>
      <w:r w:rsidRPr="0015530B">
        <w:rPr>
          <w:color w:val="auto"/>
          <w:lang w:val="es-ES"/>
        </w:rPr>
        <w:t xml:space="preserve"> agua y la distribución de energía. Es</w:t>
      </w:r>
      <w:r w:rsidR="0038728D" w:rsidRPr="0015530B">
        <w:rPr>
          <w:color w:val="auto"/>
          <w:lang w:val="es-ES"/>
        </w:rPr>
        <w:t>ta solución da respuesta al</w:t>
      </w:r>
      <w:r w:rsidRPr="0015530B">
        <w:rPr>
          <w:color w:val="auto"/>
          <w:lang w:val="es-ES"/>
        </w:rPr>
        <w:t xml:space="preserve"> principal desafío de la</w:t>
      </w:r>
      <w:r w:rsidR="0038728D" w:rsidRPr="0015530B">
        <w:rPr>
          <w:color w:val="auto"/>
          <w:lang w:val="es-ES"/>
        </w:rPr>
        <w:t>s</w:t>
      </w:r>
      <w:r w:rsidRPr="0015530B">
        <w:rPr>
          <w:color w:val="auto"/>
          <w:lang w:val="es-ES"/>
        </w:rPr>
        <w:t xml:space="preserve"> alta</w:t>
      </w:r>
      <w:r w:rsidR="0038728D" w:rsidRPr="0015530B">
        <w:rPr>
          <w:color w:val="auto"/>
          <w:lang w:val="es-ES"/>
        </w:rPr>
        <w:t>s</w:t>
      </w:r>
      <w:r w:rsidRPr="0015530B">
        <w:rPr>
          <w:color w:val="auto"/>
          <w:lang w:val="es-ES"/>
        </w:rPr>
        <w:t xml:space="preserve"> densidad</w:t>
      </w:r>
      <w:r w:rsidR="0038728D" w:rsidRPr="0015530B">
        <w:rPr>
          <w:color w:val="auto"/>
          <w:lang w:val="es-ES"/>
        </w:rPr>
        <w:t>es</w:t>
      </w:r>
      <w:r w:rsidRPr="0015530B">
        <w:rPr>
          <w:color w:val="auto"/>
          <w:lang w:val="es-ES"/>
        </w:rPr>
        <w:t xml:space="preserve"> de potencia y la </w:t>
      </w:r>
      <w:r w:rsidR="004911AD" w:rsidRPr="0015530B">
        <w:rPr>
          <w:color w:val="auto"/>
          <w:lang w:val="es-ES"/>
        </w:rPr>
        <w:t xml:space="preserve">rápida </w:t>
      </w:r>
      <w:r w:rsidRPr="0015530B">
        <w:rPr>
          <w:color w:val="auto"/>
          <w:lang w:val="es-ES"/>
        </w:rPr>
        <w:t xml:space="preserve">escalabilidad. </w:t>
      </w:r>
      <w:r w:rsidR="0038728D" w:rsidRPr="0015530B">
        <w:rPr>
          <w:color w:val="auto"/>
          <w:lang w:val="es-ES"/>
        </w:rPr>
        <w:t>Es posible concentrar más de un megavatio de potencia en apenas unos metros cuadrados, una magnitud</w:t>
      </w:r>
      <w:r w:rsidRPr="0015530B">
        <w:rPr>
          <w:color w:val="auto"/>
          <w:lang w:val="es-ES"/>
        </w:rPr>
        <w:t xml:space="preserve"> comparable a</w:t>
      </w:r>
      <w:r w:rsidR="0038728D" w:rsidRPr="0015530B">
        <w:rPr>
          <w:color w:val="auto"/>
          <w:lang w:val="es-ES"/>
        </w:rPr>
        <w:t xml:space="preserve">l consumo energético </w:t>
      </w:r>
      <w:r w:rsidRPr="0038728D">
        <w:rPr>
          <w:lang w:val="es-ES"/>
        </w:rPr>
        <w:t xml:space="preserve">de </w:t>
      </w:r>
      <w:r w:rsidRPr="0038728D">
        <w:rPr>
          <w:lang w:val="es-ES"/>
        </w:rPr>
        <w:lastRenderedPageBreak/>
        <w:t xml:space="preserve">todo un distrito residencial. </w:t>
      </w:r>
      <w:r w:rsidR="0038728D">
        <w:rPr>
          <w:lang w:val="es-ES"/>
        </w:rPr>
        <w:t>Esta elevada</w:t>
      </w:r>
      <w:r w:rsidRPr="0038728D">
        <w:rPr>
          <w:lang w:val="es-ES"/>
        </w:rPr>
        <w:t xml:space="preserve"> concentración requiere refrigeración</w:t>
      </w:r>
      <w:r w:rsidR="0038728D">
        <w:rPr>
          <w:lang w:val="es-ES"/>
        </w:rPr>
        <w:t xml:space="preserve"> de máxima</w:t>
      </w:r>
      <w:r w:rsidRPr="0038728D">
        <w:rPr>
          <w:lang w:val="es-ES"/>
        </w:rPr>
        <w:t xml:space="preserve"> precis</w:t>
      </w:r>
      <w:r w:rsidR="0038728D">
        <w:rPr>
          <w:lang w:val="es-ES"/>
        </w:rPr>
        <w:t>ión</w:t>
      </w:r>
      <w:r w:rsidRPr="0038728D">
        <w:rPr>
          <w:lang w:val="es-ES"/>
        </w:rPr>
        <w:t xml:space="preserve">, una fuente de alimentación segura </w:t>
      </w:r>
      <w:r w:rsidR="0038728D">
        <w:rPr>
          <w:lang w:val="es-ES"/>
        </w:rPr>
        <w:t>y una</w:t>
      </w:r>
      <w:r w:rsidRPr="0038728D">
        <w:rPr>
          <w:lang w:val="es-ES"/>
        </w:rPr>
        <w:t xml:space="preserve"> integración mecánica</w:t>
      </w:r>
      <w:r w:rsidR="0038728D">
        <w:rPr>
          <w:lang w:val="es-ES"/>
        </w:rPr>
        <w:t xml:space="preserve"> robusta</w:t>
      </w:r>
      <w:r w:rsidRPr="0038728D">
        <w:rPr>
          <w:lang w:val="es-ES"/>
        </w:rPr>
        <w:t xml:space="preserve"> </w:t>
      </w:r>
      <w:r w:rsidR="0038728D">
        <w:rPr>
          <w:lang w:val="es-ES"/>
        </w:rPr>
        <w:t>que</w:t>
      </w:r>
      <w:r w:rsidRPr="0038728D">
        <w:rPr>
          <w:lang w:val="es-ES"/>
        </w:rPr>
        <w:t xml:space="preserve"> permit</w:t>
      </w:r>
      <w:r w:rsidR="0038728D">
        <w:rPr>
          <w:lang w:val="es-ES"/>
        </w:rPr>
        <w:t>a</w:t>
      </w:r>
      <w:r w:rsidRPr="0038728D">
        <w:rPr>
          <w:lang w:val="es-ES"/>
        </w:rPr>
        <w:t xml:space="preserve"> una transferencia</w:t>
      </w:r>
      <w:r w:rsidR="0038728D">
        <w:rPr>
          <w:lang w:val="es-ES"/>
        </w:rPr>
        <w:t xml:space="preserve"> de datos</w:t>
      </w:r>
      <w:r w:rsidRPr="0038728D">
        <w:rPr>
          <w:lang w:val="es-ES"/>
        </w:rPr>
        <w:t xml:space="preserve"> rápida, garantizando al mismo tiempo estabilidad y fiabilidad</w:t>
      </w:r>
      <w:r w:rsidR="0038728D">
        <w:rPr>
          <w:lang w:val="es-ES"/>
        </w:rPr>
        <w:t xml:space="preserve"> operativa</w:t>
      </w:r>
      <w:r w:rsidRPr="0038728D">
        <w:rPr>
          <w:lang w:val="es-ES"/>
        </w:rPr>
        <w:t>.</w:t>
      </w:r>
    </w:p>
    <w:p w14:paraId="2B863E24" w14:textId="77777777" w:rsidR="007306FA" w:rsidRPr="0038728D" w:rsidRDefault="007306FA" w:rsidP="0070375D">
      <w:pPr>
        <w:pStyle w:val="Copytext"/>
        <w:jc w:val="both"/>
        <w:rPr>
          <w:lang w:val="es-ES"/>
        </w:rPr>
      </w:pPr>
    </w:p>
    <w:p w14:paraId="4D527302" w14:textId="40E07960" w:rsidR="0070375D" w:rsidRPr="0038728D" w:rsidRDefault="0070375D" w:rsidP="0070375D">
      <w:pPr>
        <w:pStyle w:val="Copytext"/>
        <w:jc w:val="both"/>
        <w:rPr>
          <w:lang w:val="es-ES"/>
        </w:rPr>
      </w:pPr>
      <w:r w:rsidRPr="0038728D">
        <w:rPr>
          <w:lang w:val="es-ES"/>
        </w:rPr>
        <w:t xml:space="preserve">El concepto </w:t>
      </w:r>
      <w:r w:rsidR="0038728D">
        <w:rPr>
          <w:lang w:val="es-ES"/>
        </w:rPr>
        <w:t xml:space="preserve">agrupa la infraestructura </w:t>
      </w:r>
      <w:r w:rsidRPr="0038728D">
        <w:rPr>
          <w:lang w:val="es-ES"/>
        </w:rPr>
        <w:t>de forma compacta en racks OCP</w:t>
      </w:r>
      <w:r w:rsidR="0038728D">
        <w:rPr>
          <w:lang w:val="es-ES"/>
        </w:rPr>
        <w:t xml:space="preserve"> alineados, formando </w:t>
      </w:r>
      <w:r w:rsidRPr="0038728D">
        <w:rPr>
          <w:lang w:val="es-ES"/>
        </w:rPr>
        <w:t xml:space="preserve">un </w:t>
      </w:r>
      <w:r w:rsidR="0038728D">
        <w:rPr>
          <w:lang w:val="es-ES"/>
        </w:rPr>
        <w:t xml:space="preserve">único </w:t>
      </w:r>
      <w:r w:rsidRPr="0038728D">
        <w:rPr>
          <w:lang w:val="es-ES"/>
        </w:rPr>
        <w:t>sistema:</w:t>
      </w:r>
      <w:r w:rsidR="0038728D">
        <w:rPr>
          <w:lang w:val="es-ES"/>
        </w:rPr>
        <w:t xml:space="preserve"> por un lado,</w:t>
      </w:r>
      <w:r w:rsidRPr="0038728D">
        <w:rPr>
          <w:lang w:val="es-ES"/>
        </w:rPr>
        <w:t xml:space="preserve"> una unidad central</w:t>
      </w:r>
      <w:r w:rsidR="0038728D">
        <w:rPr>
          <w:lang w:val="es-ES"/>
        </w:rPr>
        <w:t xml:space="preserve"> de </w:t>
      </w:r>
      <w:r w:rsidRPr="0038728D">
        <w:rPr>
          <w:lang w:val="es-ES"/>
        </w:rPr>
        <w:t xml:space="preserve">distribución de </w:t>
      </w:r>
      <w:r w:rsidRPr="0015530B">
        <w:rPr>
          <w:color w:val="auto"/>
          <w:lang w:val="es-ES"/>
        </w:rPr>
        <w:t>refrigerante (CDU)</w:t>
      </w:r>
      <w:r w:rsidR="0038728D" w:rsidRPr="0015530B">
        <w:rPr>
          <w:color w:val="auto"/>
          <w:lang w:val="es-ES"/>
        </w:rPr>
        <w:t xml:space="preserve">; en el centro, los </w:t>
      </w:r>
      <w:r w:rsidRPr="0015530B">
        <w:rPr>
          <w:color w:val="auto"/>
          <w:lang w:val="es-ES"/>
        </w:rPr>
        <w:t>racks de alto rendimiento para los módulos de cálculo</w:t>
      </w:r>
      <w:r w:rsidR="0038728D" w:rsidRPr="0015530B">
        <w:rPr>
          <w:color w:val="auto"/>
          <w:lang w:val="es-ES"/>
        </w:rPr>
        <w:t xml:space="preserve">; y por otro lado, </w:t>
      </w:r>
      <w:r w:rsidRPr="0015530B">
        <w:rPr>
          <w:color w:val="auto"/>
          <w:lang w:val="es-ES"/>
        </w:rPr>
        <w:t xml:space="preserve">un </w:t>
      </w:r>
      <w:r w:rsidRPr="0015530B">
        <w:rPr>
          <w:i/>
          <w:iCs/>
          <w:color w:val="auto"/>
          <w:lang w:val="es-ES"/>
        </w:rPr>
        <w:t>sidecar</w:t>
      </w:r>
      <w:r w:rsidRPr="0015530B">
        <w:rPr>
          <w:color w:val="auto"/>
          <w:lang w:val="es-ES"/>
        </w:rPr>
        <w:t xml:space="preserve"> para</w:t>
      </w:r>
      <w:r w:rsidR="0038728D" w:rsidRPr="0015530B">
        <w:rPr>
          <w:color w:val="auto"/>
          <w:lang w:val="es-ES"/>
        </w:rPr>
        <w:t xml:space="preserve"> la</w:t>
      </w:r>
      <w:r w:rsidRPr="0015530B">
        <w:rPr>
          <w:color w:val="auto"/>
          <w:lang w:val="es-ES"/>
        </w:rPr>
        <w:t xml:space="preserve"> generación y distribución de </w:t>
      </w:r>
      <w:r w:rsidR="0038728D" w:rsidRPr="0015530B">
        <w:rPr>
          <w:color w:val="auto"/>
          <w:lang w:val="es-ES"/>
        </w:rPr>
        <w:t>corriente continua (</w:t>
      </w:r>
      <w:r w:rsidRPr="0015530B">
        <w:rPr>
          <w:color w:val="auto"/>
          <w:lang w:val="es-ES"/>
        </w:rPr>
        <w:t>CC</w:t>
      </w:r>
      <w:r w:rsidR="0038728D" w:rsidRPr="0015530B">
        <w:rPr>
          <w:color w:val="auto"/>
          <w:lang w:val="es-ES"/>
        </w:rPr>
        <w:t>), instalado de forma</w:t>
      </w:r>
      <w:r w:rsidRPr="0015530B">
        <w:rPr>
          <w:color w:val="auto"/>
          <w:lang w:val="es-ES"/>
        </w:rPr>
        <w:t xml:space="preserve"> adyacente a los racks de servidores</w:t>
      </w:r>
      <w:r w:rsidR="0038728D" w:rsidRPr="0015530B">
        <w:rPr>
          <w:color w:val="auto"/>
          <w:lang w:val="es-ES"/>
        </w:rPr>
        <w:t>.</w:t>
      </w:r>
      <w:r w:rsidRPr="0015530B">
        <w:rPr>
          <w:color w:val="auto"/>
          <w:lang w:val="es-ES"/>
        </w:rPr>
        <w:t xml:space="preserve"> Esto reduce las pérdidas, aumenta la escalabilidad y </w:t>
      </w:r>
      <w:r w:rsidR="0038728D" w:rsidRPr="0015530B">
        <w:rPr>
          <w:color w:val="auto"/>
          <w:lang w:val="es-ES"/>
        </w:rPr>
        <w:t xml:space="preserve">sienta las bases para las infraestructuras de </w:t>
      </w:r>
      <w:r w:rsidR="004911AD" w:rsidRPr="0015530B">
        <w:rPr>
          <w:color w:val="auto"/>
          <w:lang w:val="es-ES"/>
        </w:rPr>
        <w:t>CC</w:t>
      </w:r>
      <w:r w:rsidR="0038728D" w:rsidRPr="0015530B">
        <w:rPr>
          <w:color w:val="auto"/>
          <w:lang w:val="es-ES"/>
        </w:rPr>
        <w:t xml:space="preserve"> </w:t>
      </w:r>
      <w:r w:rsidR="0038728D">
        <w:rPr>
          <w:lang w:val="es-ES"/>
        </w:rPr>
        <w:t>que serán esenciales en el futuro.</w:t>
      </w:r>
    </w:p>
    <w:p w14:paraId="650A6F9D" w14:textId="77777777" w:rsidR="00E000F7" w:rsidRPr="0038728D" w:rsidRDefault="00E000F7" w:rsidP="0070375D">
      <w:pPr>
        <w:pStyle w:val="Copytext"/>
        <w:jc w:val="both"/>
        <w:rPr>
          <w:lang w:val="es-ES"/>
        </w:rPr>
      </w:pPr>
    </w:p>
    <w:p w14:paraId="6F12FDBF" w14:textId="0CD43909" w:rsidR="0070375D" w:rsidRPr="0038728D" w:rsidRDefault="0070375D" w:rsidP="0070375D">
      <w:pPr>
        <w:pStyle w:val="Copytext"/>
        <w:jc w:val="both"/>
        <w:rPr>
          <w:lang w:val="es-ES"/>
        </w:rPr>
      </w:pPr>
      <w:r w:rsidRPr="0038728D">
        <w:rPr>
          <w:lang w:val="es-ES"/>
        </w:rPr>
        <w:t xml:space="preserve">"Estos sistemas son </w:t>
      </w:r>
      <w:r w:rsidR="0038728D">
        <w:rPr>
          <w:lang w:val="es-ES"/>
        </w:rPr>
        <w:t xml:space="preserve">modernas </w:t>
      </w:r>
      <w:r w:rsidRPr="0038728D">
        <w:rPr>
          <w:lang w:val="es-ES"/>
        </w:rPr>
        <w:t>unidades</w:t>
      </w:r>
      <w:r w:rsidR="0038728D">
        <w:rPr>
          <w:lang w:val="es-ES"/>
        </w:rPr>
        <w:t xml:space="preserve"> centrales</w:t>
      </w:r>
      <w:r w:rsidRPr="0038728D">
        <w:rPr>
          <w:lang w:val="es-ES"/>
        </w:rPr>
        <w:t xml:space="preserve"> de suministro para el futuro digital. Están </w:t>
      </w:r>
      <w:r w:rsidR="0038728D">
        <w:rPr>
          <w:lang w:val="es-ES"/>
        </w:rPr>
        <w:t>diseñados</w:t>
      </w:r>
      <w:r w:rsidRPr="0038728D">
        <w:rPr>
          <w:lang w:val="es-ES"/>
        </w:rPr>
        <w:t xml:space="preserve"> de forma compacta</w:t>
      </w:r>
      <w:r w:rsidR="0038728D">
        <w:rPr>
          <w:lang w:val="es-ES"/>
        </w:rPr>
        <w:t>, concebidos</w:t>
      </w:r>
      <w:r w:rsidRPr="0038728D">
        <w:rPr>
          <w:lang w:val="es-ES"/>
        </w:rPr>
        <w:t xml:space="preserve"> para altas tasas de</w:t>
      </w:r>
      <w:r w:rsidR="0038728D">
        <w:rPr>
          <w:lang w:val="es-ES"/>
        </w:rPr>
        <w:t xml:space="preserve"> transferencia de</w:t>
      </w:r>
      <w:r w:rsidRPr="0038728D">
        <w:rPr>
          <w:lang w:val="es-ES"/>
        </w:rPr>
        <w:t xml:space="preserve"> datos, y </w:t>
      </w:r>
      <w:r w:rsidR="0038728D">
        <w:rPr>
          <w:lang w:val="es-ES"/>
        </w:rPr>
        <w:t>resultan</w:t>
      </w:r>
      <w:r w:rsidRPr="0038728D">
        <w:rPr>
          <w:lang w:val="es-ES"/>
        </w:rPr>
        <w:t xml:space="preserve"> insustituibles </w:t>
      </w:r>
      <w:r w:rsidR="0038728D">
        <w:rPr>
          <w:lang w:val="es-ES"/>
        </w:rPr>
        <w:t>ante</w:t>
      </w:r>
      <w:r w:rsidRPr="0038728D">
        <w:rPr>
          <w:lang w:val="es-ES"/>
        </w:rPr>
        <w:t xml:space="preserve"> la creciente importancia de la IA en l</w:t>
      </w:r>
      <w:r w:rsidR="0038728D">
        <w:rPr>
          <w:lang w:val="es-ES"/>
        </w:rPr>
        <w:t>a economía</w:t>
      </w:r>
      <w:r w:rsidRPr="0038728D">
        <w:rPr>
          <w:lang w:val="es-ES"/>
        </w:rPr>
        <w:t xml:space="preserve"> y la sociedad", </w:t>
      </w:r>
      <w:r w:rsidR="0038728D">
        <w:rPr>
          <w:lang w:val="es-ES"/>
        </w:rPr>
        <w:t>afirma</w:t>
      </w:r>
      <w:r w:rsidRPr="0038728D">
        <w:rPr>
          <w:lang w:val="es-ES"/>
        </w:rPr>
        <w:t xml:space="preserve"> Thomas Schreiner, responsable de </w:t>
      </w:r>
      <w:r w:rsidR="0038728D">
        <w:rPr>
          <w:lang w:val="es-ES"/>
        </w:rPr>
        <w:t>d</w:t>
      </w:r>
      <w:r w:rsidRPr="0038728D">
        <w:rPr>
          <w:lang w:val="es-ES"/>
        </w:rPr>
        <w:t xml:space="preserve">esarrollo de </w:t>
      </w:r>
      <w:r w:rsidR="0038728D">
        <w:rPr>
          <w:lang w:val="es-ES"/>
        </w:rPr>
        <w:t>n</w:t>
      </w:r>
      <w:r w:rsidRPr="0038728D">
        <w:rPr>
          <w:lang w:val="es-ES"/>
        </w:rPr>
        <w:t xml:space="preserve">egocio </w:t>
      </w:r>
      <w:proofErr w:type="spellStart"/>
      <w:r w:rsidRPr="0038728D">
        <w:rPr>
          <w:lang w:val="es-ES"/>
        </w:rPr>
        <w:t>Hyperscale</w:t>
      </w:r>
      <w:proofErr w:type="spellEnd"/>
      <w:r w:rsidRPr="0038728D">
        <w:rPr>
          <w:lang w:val="es-ES"/>
        </w:rPr>
        <w:t xml:space="preserve"> en Rittal. "Los </w:t>
      </w:r>
      <w:proofErr w:type="spellStart"/>
      <w:r w:rsidRPr="0038728D">
        <w:rPr>
          <w:i/>
          <w:iCs/>
          <w:lang w:val="es-ES"/>
        </w:rPr>
        <w:t>hyperscalers</w:t>
      </w:r>
      <w:proofErr w:type="spellEnd"/>
      <w:r w:rsidRPr="0038728D">
        <w:rPr>
          <w:lang w:val="es-ES"/>
        </w:rPr>
        <w:t xml:space="preserve"> </w:t>
      </w:r>
      <w:r w:rsidR="0038728D">
        <w:rPr>
          <w:lang w:val="es-ES"/>
        </w:rPr>
        <w:t>han sido</w:t>
      </w:r>
      <w:r w:rsidRPr="0038728D">
        <w:rPr>
          <w:lang w:val="es-ES"/>
        </w:rPr>
        <w:t xml:space="preserve"> pioneros globales </w:t>
      </w:r>
      <w:r w:rsidR="0038728D">
        <w:rPr>
          <w:lang w:val="es-ES"/>
        </w:rPr>
        <w:t xml:space="preserve">en el desarrollo </w:t>
      </w:r>
      <w:r w:rsidRPr="0038728D">
        <w:rPr>
          <w:lang w:val="es-ES"/>
        </w:rPr>
        <w:t xml:space="preserve">de nuevas arquitecturas, que </w:t>
      </w:r>
      <w:r w:rsidR="0038728D">
        <w:rPr>
          <w:lang w:val="es-ES"/>
        </w:rPr>
        <w:t>posteriormente</w:t>
      </w:r>
      <w:r w:rsidRPr="0038728D">
        <w:rPr>
          <w:lang w:val="es-ES"/>
        </w:rPr>
        <w:t xml:space="preserve"> s</w:t>
      </w:r>
      <w:r w:rsidR="0038728D">
        <w:rPr>
          <w:lang w:val="es-ES"/>
        </w:rPr>
        <w:t>irven</w:t>
      </w:r>
      <w:r w:rsidRPr="0038728D">
        <w:rPr>
          <w:lang w:val="es-ES"/>
        </w:rPr>
        <w:t xml:space="preserve"> como modelos </w:t>
      </w:r>
      <w:r w:rsidR="0038728D">
        <w:rPr>
          <w:lang w:val="es-ES"/>
        </w:rPr>
        <w:t>de referencia</w:t>
      </w:r>
      <w:r w:rsidRPr="0038728D">
        <w:rPr>
          <w:lang w:val="es-ES"/>
        </w:rPr>
        <w:t xml:space="preserve"> para otros sectores, como </w:t>
      </w:r>
      <w:r w:rsidR="0038728D">
        <w:rPr>
          <w:lang w:val="es-ES"/>
        </w:rPr>
        <w:t xml:space="preserve">el </w:t>
      </w:r>
      <w:proofErr w:type="spellStart"/>
      <w:r w:rsidRPr="0038728D">
        <w:rPr>
          <w:i/>
          <w:iCs/>
          <w:lang w:val="es-ES"/>
        </w:rPr>
        <w:t>colocation</w:t>
      </w:r>
      <w:proofErr w:type="spellEnd"/>
      <w:r w:rsidRPr="0038728D">
        <w:rPr>
          <w:lang w:val="es-ES"/>
        </w:rPr>
        <w:t>."</w:t>
      </w:r>
    </w:p>
    <w:p w14:paraId="4AC5D003" w14:textId="77777777" w:rsidR="0065578E" w:rsidRPr="0038728D" w:rsidRDefault="0065578E" w:rsidP="0070375D">
      <w:pPr>
        <w:pStyle w:val="Copytext"/>
        <w:jc w:val="both"/>
        <w:rPr>
          <w:lang w:val="es-ES"/>
        </w:rPr>
      </w:pPr>
    </w:p>
    <w:p w14:paraId="469D896A" w14:textId="1F549D89" w:rsidR="0070375D" w:rsidRPr="0038728D" w:rsidRDefault="0070375D" w:rsidP="0070375D">
      <w:pPr>
        <w:pStyle w:val="Copytext"/>
        <w:jc w:val="both"/>
        <w:rPr>
          <w:b/>
          <w:bCs w:val="0"/>
          <w:lang w:val="es-ES"/>
        </w:rPr>
      </w:pPr>
      <w:r w:rsidRPr="0038728D">
        <w:rPr>
          <w:b/>
          <w:bCs w:val="0"/>
          <w:lang w:val="es-ES"/>
        </w:rPr>
        <w:t xml:space="preserve">Estandarización para </w:t>
      </w:r>
      <w:r w:rsidR="0038728D">
        <w:rPr>
          <w:b/>
          <w:bCs w:val="0"/>
          <w:lang w:val="es-ES"/>
        </w:rPr>
        <w:t xml:space="preserve">una </w:t>
      </w:r>
      <w:r w:rsidRPr="0038728D">
        <w:rPr>
          <w:b/>
          <w:bCs w:val="0"/>
          <w:lang w:val="es-ES"/>
        </w:rPr>
        <w:t xml:space="preserve">mayor </w:t>
      </w:r>
      <w:r w:rsidR="0038728D">
        <w:rPr>
          <w:b/>
          <w:bCs w:val="0"/>
          <w:lang w:val="es-ES"/>
        </w:rPr>
        <w:t>rapidez</w:t>
      </w:r>
      <w:r w:rsidRPr="0038728D">
        <w:rPr>
          <w:b/>
          <w:bCs w:val="0"/>
          <w:lang w:val="es-ES"/>
        </w:rPr>
        <w:t xml:space="preserve"> con Rittal y DG Matrix</w:t>
      </w:r>
    </w:p>
    <w:p w14:paraId="24AD7942" w14:textId="5E0634C2" w:rsidR="0070375D" w:rsidRPr="0038728D" w:rsidRDefault="0070375D" w:rsidP="0070375D">
      <w:pPr>
        <w:pStyle w:val="Copytext"/>
        <w:jc w:val="both"/>
        <w:rPr>
          <w:lang w:val="es-ES"/>
        </w:rPr>
      </w:pPr>
      <w:r w:rsidRPr="0038728D">
        <w:rPr>
          <w:lang w:val="es-ES"/>
        </w:rPr>
        <w:t xml:space="preserve">La </w:t>
      </w:r>
      <w:r w:rsidR="0038728D">
        <w:rPr>
          <w:lang w:val="es-ES"/>
        </w:rPr>
        <w:t>u</w:t>
      </w:r>
      <w:r w:rsidRPr="0038728D">
        <w:rPr>
          <w:lang w:val="es-ES"/>
        </w:rPr>
        <w:t xml:space="preserve">nidad de </w:t>
      </w:r>
      <w:r w:rsidR="0038728D" w:rsidRPr="0015530B">
        <w:rPr>
          <w:color w:val="auto"/>
          <w:lang w:val="es-ES"/>
        </w:rPr>
        <w:t>d</w:t>
      </w:r>
      <w:r w:rsidRPr="0015530B">
        <w:rPr>
          <w:color w:val="auto"/>
          <w:lang w:val="es-ES"/>
        </w:rPr>
        <w:t xml:space="preserve">istribución de </w:t>
      </w:r>
      <w:r w:rsidR="0038728D" w:rsidRPr="0015530B">
        <w:rPr>
          <w:color w:val="auto"/>
          <w:lang w:val="es-ES"/>
        </w:rPr>
        <w:t>r</w:t>
      </w:r>
      <w:r w:rsidRPr="0015530B">
        <w:rPr>
          <w:color w:val="auto"/>
          <w:lang w:val="es-ES"/>
        </w:rPr>
        <w:t>efrigeración</w:t>
      </w:r>
      <w:r w:rsidR="0038728D" w:rsidRPr="0015530B">
        <w:rPr>
          <w:color w:val="auto"/>
          <w:lang w:val="es-ES"/>
        </w:rPr>
        <w:t xml:space="preserve"> (</w:t>
      </w:r>
      <w:proofErr w:type="spellStart"/>
      <w:r w:rsidR="0038728D" w:rsidRPr="0015530B">
        <w:rPr>
          <w:color w:val="auto"/>
          <w:lang w:val="es-ES"/>
        </w:rPr>
        <w:t>Cooling</w:t>
      </w:r>
      <w:proofErr w:type="spellEnd"/>
      <w:r w:rsidR="0038728D" w:rsidRPr="0015530B">
        <w:rPr>
          <w:color w:val="auto"/>
          <w:lang w:val="es-ES"/>
        </w:rPr>
        <w:t xml:space="preserve"> </w:t>
      </w:r>
      <w:proofErr w:type="spellStart"/>
      <w:r w:rsidR="0038728D" w:rsidRPr="0015530B">
        <w:rPr>
          <w:color w:val="auto"/>
          <w:lang w:val="es-ES"/>
        </w:rPr>
        <w:t>Distribution</w:t>
      </w:r>
      <w:proofErr w:type="spellEnd"/>
      <w:r w:rsidR="0038728D" w:rsidRPr="0015530B">
        <w:rPr>
          <w:color w:val="auto"/>
          <w:lang w:val="es-ES"/>
        </w:rPr>
        <w:t xml:space="preserve"> </w:t>
      </w:r>
      <w:proofErr w:type="spellStart"/>
      <w:r w:rsidR="0038728D" w:rsidRPr="0015530B">
        <w:rPr>
          <w:color w:val="auto"/>
          <w:lang w:val="es-ES"/>
        </w:rPr>
        <w:t>Unit</w:t>
      </w:r>
      <w:proofErr w:type="spellEnd"/>
      <w:r w:rsidR="0038728D" w:rsidRPr="0015530B">
        <w:rPr>
          <w:color w:val="auto"/>
          <w:lang w:val="es-ES"/>
        </w:rPr>
        <w:t>, CDU)</w:t>
      </w:r>
      <w:r w:rsidRPr="0015530B">
        <w:rPr>
          <w:color w:val="auto"/>
          <w:lang w:val="es-ES"/>
        </w:rPr>
        <w:t xml:space="preserve">, desarrollada por Rittal, ofrece más de un megavatio de </w:t>
      </w:r>
      <w:r w:rsidR="0038728D" w:rsidRPr="0015530B">
        <w:rPr>
          <w:color w:val="auto"/>
          <w:lang w:val="es-ES"/>
        </w:rPr>
        <w:t>potencia</w:t>
      </w:r>
      <w:r w:rsidRPr="0015530B">
        <w:rPr>
          <w:color w:val="auto"/>
          <w:lang w:val="es-ES"/>
        </w:rPr>
        <w:t xml:space="preserve"> de refrigeración por agua para </w:t>
      </w:r>
      <w:r w:rsidR="0038728D" w:rsidRPr="0015530B">
        <w:rPr>
          <w:color w:val="auto"/>
          <w:lang w:val="es-ES"/>
        </w:rPr>
        <w:t xml:space="preserve">la </w:t>
      </w:r>
      <w:r w:rsidRPr="0015530B">
        <w:rPr>
          <w:color w:val="auto"/>
          <w:lang w:val="es-ES"/>
        </w:rPr>
        <w:t xml:space="preserve">refrigeración directa </w:t>
      </w:r>
      <w:r w:rsidR="0038728D" w:rsidRPr="0015530B">
        <w:rPr>
          <w:color w:val="auto"/>
          <w:lang w:val="es-ES"/>
        </w:rPr>
        <w:t>de</w:t>
      </w:r>
      <w:r w:rsidRPr="0015530B">
        <w:rPr>
          <w:color w:val="auto"/>
          <w:lang w:val="es-ES"/>
        </w:rPr>
        <w:t xml:space="preserve"> chip</w:t>
      </w:r>
      <w:r w:rsidR="0038728D" w:rsidRPr="0015530B">
        <w:rPr>
          <w:color w:val="auto"/>
          <w:lang w:val="es-ES"/>
        </w:rPr>
        <w:t>s</w:t>
      </w:r>
      <w:r w:rsidRPr="0015530B">
        <w:rPr>
          <w:color w:val="auto"/>
          <w:lang w:val="es-ES"/>
        </w:rPr>
        <w:t xml:space="preserve"> en un espacio muy compacto. </w:t>
      </w:r>
      <w:r w:rsidR="0038728D" w:rsidRPr="0015530B">
        <w:rPr>
          <w:color w:val="auto"/>
          <w:lang w:val="es-ES"/>
        </w:rPr>
        <w:t>Se basa en un enfoque modular que garantiza la escalabilidad</w:t>
      </w:r>
      <w:r w:rsidRPr="0015530B">
        <w:rPr>
          <w:color w:val="auto"/>
          <w:lang w:val="es-ES"/>
        </w:rPr>
        <w:t xml:space="preserve"> y </w:t>
      </w:r>
      <w:r w:rsidR="0038728D" w:rsidRPr="0015530B">
        <w:rPr>
          <w:color w:val="auto"/>
          <w:lang w:val="es-ES"/>
        </w:rPr>
        <w:t>facilita las tareas de mantenimiento</w:t>
      </w:r>
      <w:r w:rsidRPr="0015530B">
        <w:rPr>
          <w:color w:val="auto"/>
          <w:lang w:val="es-ES"/>
        </w:rPr>
        <w:t>, incluyendo el '</w:t>
      </w:r>
      <w:r w:rsidR="0038728D" w:rsidRPr="0015530B">
        <w:rPr>
          <w:color w:val="auto"/>
          <w:lang w:val="es-ES"/>
        </w:rPr>
        <w:t>H</w:t>
      </w:r>
      <w:r w:rsidRPr="0015530B">
        <w:rPr>
          <w:color w:val="auto"/>
          <w:lang w:val="es-ES"/>
        </w:rPr>
        <w:t xml:space="preserve">ot </w:t>
      </w:r>
      <w:r w:rsidR="0038728D" w:rsidRPr="0015530B">
        <w:rPr>
          <w:color w:val="auto"/>
          <w:lang w:val="es-ES"/>
        </w:rPr>
        <w:t>S</w:t>
      </w:r>
      <w:r w:rsidRPr="0015530B">
        <w:rPr>
          <w:color w:val="auto"/>
          <w:lang w:val="es-ES"/>
        </w:rPr>
        <w:t xml:space="preserve">wap'. </w:t>
      </w:r>
      <w:r w:rsidR="0038728D" w:rsidRPr="0015530B">
        <w:rPr>
          <w:color w:val="auto"/>
          <w:lang w:val="es-ES"/>
        </w:rPr>
        <w:t>Además, aprovecha</w:t>
      </w:r>
      <w:r w:rsidRPr="0015530B">
        <w:rPr>
          <w:color w:val="auto"/>
          <w:lang w:val="es-ES"/>
        </w:rPr>
        <w:t xml:space="preserve"> las ventajas de diseño del Open Rack V3, desarrollado por Rittal </w:t>
      </w:r>
      <w:r w:rsidR="0038728D" w:rsidRPr="0015530B">
        <w:rPr>
          <w:color w:val="auto"/>
          <w:lang w:val="es-ES"/>
        </w:rPr>
        <w:t>en el marco</w:t>
      </w:r>
      <w:r w:rsidRPr="0015530B">
        <w:rPr>
          <w:color w:val="auto"/>
          <w:lang w:val="es-ES"/>
        </w:rPr>
        <w:t xml:space="preserve"> del Open Compute Project (OCP). El "</w:t>
      </w:r>
      <w:proofErr w:type="spellStart"/>
      <w:r w:rsidRPr="0015530B">
        <w:rPr>
          <w:color w:val="auto"/>
          <w:lang w:val="es-ES"/>
        </w:rPr>
        <w:t>Power</w:t>
      </w:r>
      <w:proofErr w:type="spellEnd"/>
      <w:r w:rsidRPr="0015530B">
        <w:rPr>
          <w:color w:val="auto"/>
          <w:lang w:val="es-ES"/>
        </w:rPr>
        <w:t xml:space="preserve">-Sidecar" de Rittal utiliza la tecnología de DG Matrix para </w:t>
      </w:r>
      <w:r w:rsidR="0038728D" w:rsidRPr="0015530B">
        <w:rPr>
          <w:color w:val="auto"/>
          <w:lang w:val="es-ES"/>
        </w:rPr>
        <w:t xml:space="preserve">la generación de </w:t>
      </w:r>
      <w:r w:rsidR="009F2C88" w:rsidRPr="0015530B">
        <w:rPr>
          <w:color w:val="auto"/>
          <w:lang w:val="es-ES"/>
        </w:rPr>
        <w:t xml:space="preserve">corriente </w:t>
      </w:r>
      <w:r w:rsidRPr="0015530B">
        <w:rPr>
          <w:color w:val="auto"/>
          <w:lang w:val="es-ES"/>
        </w:rPr>
        <w:t xml:space="preserve">continua. Combina la tecnología de transformadores de estado sólido </w:t>
      </w:r>
      <w:proofErr w:type="spellStart"/>
      <w:r w:rsidRPr="0015530B">
        <w:rPr>
          <w:color w:val="auto"/>
          <w:lang w:val="es-ES"/>
        </w:rPr>
        <w:t>multipuerto</w:t>
      </w:r>
      <w:proofErr w:type="spellEnd"/>
      <w:r w:rsidRPr="0015530B">
        <w:rPr>
          <w:color w:val="auto"/>
          <w:lang w:val="es-ES"/>
        </w:rPr>
        <w:t xml:space="preserve"> (SST) de DG Matrix, proveedor</w:t>
      </w:r>
      <w:r w:rsidR="0038728D" w:rsidRPr="0015530B">
        <w:rPr>
          <w:color w:val="auto"/>
          <w:lang w:val="es-ES"/>
        </w:rPr>
        <w:t xml:space="preserve"> líder</w:t>
      </w:r>
      <w:r w:rsidRPr="0015530B">
        <w:rPr>
          <w:color w:val="auto"/>
          <w:lang w:val="es-ES"/>
        </w:rPr>
        <w:t xml:space="preserve"> mundial de soluciones de transformadores de </w:t>
      </w:r>
      <w:r w:rsidR="0038728D" w:rsidRPr="0015530B">
        <w:rPr>
          <w:color w:val="auto"/>
          <w:lang w:val="es-ES"/>
        </w:rPr>
        <w:t>estado sólido</w:t>
      </w:r>
      <w:r w:rsidRPr="0015530B">
        <w:rPr>
          <w:color w:val="auto"/>
          <w:lang w:val="es-ES"/>
        </w:rPr>
        <w:t xml:space="preserve">, con los sistemas de infraestructura </w:t>
      </w:r>
      <w:r w:rsidR="0038728D" w:rsidRPr="0015530B">
        <w:rPr>
          <w:color w:val="auto"/>
          <w:lang w:val="es-ES"/>
        </w:rPr>
        <w:t xml:space="preserve">de referencia </w:t>
      </w:r>
      <w:r w:rsidRPr="0015530B">
        <w:rPr>
          <w:color w:val="auto"/>
          <w:lang w:val="es-ES"/>
        </w:rPr>
        <w:t xml:space="preserve">de Rittal, incluida la plataforma de </w:t>
      </w:r>
      <w:r w:rsidR="009F2C88" w:rsidRPr="0015530B">
        <w:rPr>
          <w:color w:val="auto"/>
          <w:lang w:val="es-ES"/>
        </w:rPr>
        <w:t>embarrados</w:t>
      </w:r>
      <w:r w:rsidRPr="0015530B">
        <w:rPr>
          <w:color w:val="auto"/>
          <w:lang w:val="es-ES"/>
        </w:rPr>
        <w:t xml:space="preserve"> </w:t>
      </w:r>
      <w:proofErr w:type="spellStart"/>
      <w:r w:rsidRPr="0015530B">
        <w:rPr>
          <w:color w:val="auto"/>
          <w:lang w:val="es-ES"/>
        </w:rPr>
        <w:t>RiLineX</w:t>
      </w:r>
      <w:proofErr w:type="spellEnd"/>
      <w:r w:rsidRPr="0015530B">
        <w:rPr>
          <w:color w:val="auto"/>
          <w:lang w:val="es-ES"/>
        </w:rPr>
        <w:t xml:space="preserve">. Este concepto está completamente alineado con las arquitecturas OCP, incluyendo el </w:t>
      </w:r>
      <w:r w:rsidR="0038728D" w:rsidRPr="0015530B">
        <w:rPr>
          <w:i/>
          <w:iCs/>
          <w:color w:val="auto"/>
          <w:lang w:val="es-ES"/>
        </w:rPr>
        <w:t>Mount</w:t>
      </w:r>
      <w:r w:rsidRPr="0015530B">
        <w:rPr>
          <w:i/>
          <w:iCs/>
          <w:color w:val="auto"/>
          <w:lang w:val="es-ES"/>
        </w:rPr>
        <w:t xml:space="preserve"> Diablo</w:t>
      </w:r>
      <w:r w:rsidRPr="0015530B">
        <w:rPr>
          <w:color w:val="auto"/>
          <w:lang w:val="es-ES"/>
        </w:rPr>
        <w:t>, así como con las especificaciones de 800 VDC</w:t>
      </w:r>
      <w:r w:rsidR="0038728D" w:rsidRPr="0015530B">
        <w:rPr>
          <w:color w:val="auto"/>
          <w:lang w:val="es-ES"/>
        </w:rPr>
        <w:t xml:space="preserve"> de NVIDIA</w:t>
      </w:r>
      <w:r w:rsidRPr="0015530B">
        <w:rPr>
          <w:color w:val="auto"/>
          <w:lang w:val="es-ES"/>
        </w:rPr>
        <w:t xml:space="preserve">. La compatibilidad con </w:t>
      </w:r>
      <w:r w:rsidRPr="0038728D">
        <w:rPr>
          <w:lang w:val="es-ES"/>
        </w:rPr>
        <w:t xml:space="preserve">entornos 415/480 VAC, ±400 VDC y </w:t>
      </w:r>
      <w:r w:rsidRPr="0038728D">
        <w:rPr>
          <w:lang w:val="es-ES"/>
        </w:rPr>
        <w:lastRenderedPageBreak/>
        <w:t xml:space="preserve">800 VDC permite un </w:t>
      </w:r>
      <w:r w:rsidR="0038728D">
        <w:rPr>
          <w:lang w:val="es-ES"/>
        </w:rPr>
        <w:t>uso</w:t>
      </w:r>
      <w:r w:rsidRPr="0038728D">
        <w:rPr>
          <w:lang w:val="es-ES"/>
        </w:rPr>
        <w:t xml:space="preserve"> flexible. Rittal y DG Matrix seguirán colaborando para </w:t>
      </w:r>
      <w:r w:rsidR="0038728D">
        <w:rPr>
          <w:lang w:val="es-ES"/>
        </w:rPr>
        <w:t>impulsar la expansión de</w:t>
      </w:r>
      <w:r w:rsidRPr="0038728D">
        <w:rPr>
          <w:lang w:val="es-ES"/>
        </w:rPr>
        <w:t xml:space="preserve"> la</w:t>
      </w:r>
      <w:r w:rsidR="0038728D">
        <w:rPr>
          <w:lang w:val="es-ES"/>
        </w:rPr>
        <w:t>s</w:t>
      </w:r>
      <w:r w:rsidRPr="0038728D">
        <w:rPr>
          <w:lang w:val="es-ES"/>
        </w:rPr>
        <w:t xml:space="preserve"> infraestructura</w:t>
      </w:r>
      <w:r w:rsidR="0038728D">
        <w:rPr>
          <w:lang w:val="es-ES"/>
        </w:rPr>
        <w:t>s</w:t>
      </w:r>
      <w:r w:rsidRPr="0038728D">
        <w:rPr>
          <w:lang w:val="es-ES"/>
        </w:rPr>
        <w:t xml:space="preserve"> </w:t>
      </w:r>
      <w:r w:rsidR="0038728D">
        <w:rPr>
          <w:lang w:val="es-ES"/>
        </w:rPr>
        <w:t>compatibles</w:t>
      </w:r>
      <w:r w:rsidRPr="0038728D">
        <w:rPr>
          <w:lang w:val="es-ES"/>
        </w:rPr>
        <w:t xml:space="preserve"> </w:t>
      </w:r>
      <w:r w:rsidR="0038728D">
        <w:rPr>
          <w:lang w:val="es-ES"/>
        </w:rPr>
        <w:t>con</w:t>
      </w:r>
      <w:r w:rsidRPr="0038728D">
        <w:rPr>
          <w:lang w:val="es-ES"/>
        </w:rPr>
        <w:t xml:space="preserve"> IA. </w:t>
      </w:r>
    </w:p>
    <w:p w14:paraId="2E1192F9" w14:textId="77777777" w:rsidR="0070375D" w:rsidRPr="0038728D" w:rsidRDefault="0070375D" w:rsidP="0070375D">
      <w:pPr>
        <w:pStyle w:val="Copytext"/>
        <w:jc w:val="both"/>
        <w:rPr>
          <w:lang w:val="es-ES"/>
        </w:rPr>
      </w:pPr>
    </w:p>
    <w:p w14:paraId="7340248F" w14:textId="7E44B035" w:rsidR="0070375D" w:rsidRPr="0038728D" w:rsidRDefault="0070375D" w:rsidP="0070375D">
      <w:pPr>
        <w:pStyle w:val="Copytext"/>
        <w:jc w:val="both"/>
        <w:rPr>
          <w:lang w:val="es-ES"/>
        </w:rPr>
      </w:pPr>
      <w:r w:rsidRPr="0038728D">
        <w:rPr>
          <w:lang w:val="es-ES"/>
        </w:rPr>
        <w:t xml:space="preserve">Los visitantes </w:t>
      </w:r>
      <w:r w:rsidR="0038728D">
        <w:rPr>
          <w:lang w:val="es-ES"/>
        </w:rPr>
        <w:t>pudieron ampliar</w:t>
      </w:r>
      <w:r w:rsidRPr="0038728D">
        <w:rPr>
          <w:lang w:val="es-ES"/>
        </w:rPr>
        <w:t xml:space="preserve"> información en la ponencia de Thomas Schreiner </w:t>
      </w:r>
      <w:r w:rsidR="0038728D">
        <w:rPr>
          <w:lang w:val="es-ES"/>
        </w:rPr>
        <w:t>titulada</w:t>
      </w:r>
      <w:r w:rsidRPr="0038728D">
        <w:rPr>
          <w:lang w:val="es-ES"/>
        </w:rPr>
        <w:t xml:space="preserve">: "Infraestructura para la era de la IA: racks de alta densidad, </w:t>
      </w:r>
      <w:r w:rsidR="0038728D">
        <w:rPr>
          <w:lang w:val="es-ES"/>
        </w:rPr>
        <w:t>sistemas de alimentación</w:t>
      </w:r>
      <w:r w:rsidRPr="0038728D">
        <w:rPr>
          <w:lang w:val="es-ES"/>
        </w:rPr>
        <w:t xml:space="preserve"> inteligente</w:t>
      </w:r>
      <w:r w:rsidR="0038728D">
        <w:rPr>
          <w:lang w:val="es-ES"/>
        </w:rPr>
        <w:t>s</w:t>
      </w:r>
      <w:r w:rsidRPr="0038728D">
        <w:rPr>
          <w:lang w:val="es-ES"/>
        </w:rPr>
        <w:t xml:space="preserve">, refrigeración líquida — </w:t>
      </w:r>
      <w:r w:rsidR="0038728D">
        <w:rPr>
          <w:lang w:val="es-ES"/>
        </w:rPr>
        <w:t>Suministrados</w:t>
      </w:r>
      <w:r w:rsidRPr="0038728D">
        <w:rPr>
          <w:lang w:val="es-ES"/>
        </w:rPr>
        <w:t xml:space="preserve"> con rapidez y experiencia", </w:t>
      </w:r>
      <w:r w:rsidR="0038728D">
        <w:rPr>
          <w:lang w:val="es-ES"/>
        </w:rPr>
        <w:t xml:space="preserve">que tuvo lugar el </w:t>
      </w:r>
      <w:r w:rsidRPr="0038728D">
        <w:rPr>
          <w:lang w:val="es-ES"/>
        </w:rPr>
        <w:t>29 de abril a las 10:50 h, P1-115, P1-116 y P1-117.</w:t>
      </w:r>
    </w:p>
    <w:p w14:paraId="567A6455" w14:textId="52043323" w:rsidR="00A36608" w:rsidRPr="0038728D" w:rsidRDefault="0070375D" w:rsidP="0070375D">
      <w:pPr>
        <w:pStyle w:val="Copytext"/>
        <w:jc w:val="both"/>
        <w:rPr>
          <w:lang w:val="es-ES"/>
        </w:rPr>
      </w:pPr>
      <w:r w:rsidRPr="0038728D">
        <w:rPr>
          <w:lang w:val="es-ES"/>
        </w:rPr>
        <w:t xml:space="preserve">En el stand de Rittal, los visitantes también </w:t>
      </w:r>
      <w:r w:rsidR="0038728D">
        <w:rPr>
          <w:lang w:val="es-ES"/>
        </w:rPr>
        <w:t>pudieron conocer otras novedades</w:t>
      </w:r>
      <w:r w:rsidRPr="0038728D">
        <w:rPr>
          <w:lang w:val="es-ES"/>
        </w:rPr>
        <w:t>, como una unidad de distribución de refrigeración</w:t>
      </w:r>
      <w:r w:rsidR="0038728D">
        <w:rPr>
          <w:lang w:val="es-ES"/>
        </w:rPr>
        <w:t xml:space="preserve"> </w:t>
      </w:r>
      <w:proofErr w:type="spellStart"/>
      <w:r w:rsidR="0038728D" w:rsidRPr="0015530B">
        <w:rPr>
          <w:i/>
          <w:iCs/>
          <w:lang w:val="es-ES"/>
        </w:rPr>
        <w:t>in-row</w:t>
      </w:r>
      <w:proofErr w:type="spellEnd"/>
      <w:r w:rsidRPr="0038728D">
        <w:rPr>
          <w:lang w:val="es-ES"/>
        </w:rPr>
        <w:t xml:space="preserve"> y una nueva solución de refrigeración </w:t>
      </w:r>
      <w:r w:rsidR="0038728D">
        <w:rPr>
          <w:lang w:val="es-ES"/>
        </w:rPr>
        <w:t>por</w:t>
      </w:r>
      <w:r w:rsidRPr="0038728D">
        <w:rPr>
          <w:lang w:val="es-ES"/>
        </w:rPr>
        <w:t xml:space="preserve"> puerta trasera</w:t>
      </w:r>
      <w:r w:rsidR="0038728D">
        <w:rPr>
          <w:lang w:val="es-ES"/>
        </w:rPr>
        <w:t>,</w:t>
      </w:r>
      <w:r w:rsidRPr="0038728D">
        <w:rPr>
          <w:lang w:val="es-ES"/>
        </w:rPr>
        <w:t xml:space="preserve"> montada en un rack MGX, que Rittal ha desarrollado junto con NVIDIA</w:t>
      </w:r>
      <w:r w:rsidR="0038728D">
        <w:rPr>
          <w:lang w:val="es-ES"/>
        </w:rPr>
        <w:t>, específicamente</w:t>
      </w:r>
      <w:r w:rsidRPr="0038728D">
        <w:rPr>
          <w:lang w:val="es-ES"/>
        </w:rPr>
        <w:t xml:space="preserve"> para las nuevas arquitecturas.</w:t>
      </w:r>
    </w:p>
    <w:p w14:paraId="34F0AF9F" w14:textId="17BB426D" w:rsidR="002D139D" w:rsidRPr="0038728D" w:rsidRDefault="002D139D" w:rsidP="002D139D">
      <w:pPr>
        <w:pStyle w:val="BU"/>
        <w:rPr>
          <w:lang w:val="es-ES"/>
        </w:rPr>
      </w:pPr>
    </w:p>
    <w:p w14:paraId="108E300B" w14:textId="77777777" w:rsidR="002D139D" w:rsidRPr="0038728D" w:rsidRDefault="002D139D" w:rsidP="002D139D">
      <w:pPr>
        <w:pStyle w:val="BU"/>
        <w:rPr>
          <w:lang w:val="es-ES"/>
        </w:rPr>
      </w:pPr>
    </w:p>
    <w:p w14:paraId="67A0D44F" w14:textId="77777777" w:rsidR="00124738" w:rsidRDefault="00124738" w:rsidP="00A36608">
      <w:pPr>
        <w:pStyle w:val="Unternehmensportrait-H1"/>
        <w:rPr>
          <w:lang w:val="es-ES"/>
        </w:rPr>
      </w:pPr>
    </w:p>
    <w:p w14:paraId="6542C9F0" w14:textId="77777777" w:rsidR="00124738" w:rsidRDefault="00124738" w:rsidP="00A36608">
      <w:pPr>
        <w:pStyle w:val="Unternehmensportrait-H1"/>
        <w:rPr>
          <w:lang w:val="es-ES"/>
        </w:rPr>
      </w:pPr>
    </w:p>
    <w:p w14:paraId="048A3ADA" w14:textId="77777777" w:rsidR="00124738" w:rsidRDefault="00124738" w:rsidP="00A36608">
      <w:pPr>
        <w:pStyle w:val="Unternehmensportrait-H1"/>
        <w:rPr>
          <w:lang w:val="es-ES"/>
        </w:rPr>
      </w:pPr>
    </w:p>
    <w:p w14:paraId="1B81B60E" w14:textId="77777777" w:rsidR="00124738" w:rsidRDefault="00124738" w:rsidP="00A36608">
      <w:pPr>
        <w:pStyle w:val="Unternehmensportrait-H1"/>
        <w:rPr>
          <w:lang w:val="es-ES"/>
        </w:rPr>
      </w:pPr>
    </w:p>
    <w:p w14:paraId="47B5AB59" w14:textId="77777777" w:rsidR="00124738" w:rsidRDefault="00124738" w:rsidP="00A36608">
      <w:pPr>
        <w:pStyle w:val="Unternehmensportrait-H1"/>
        <w:rPr>
          <w:lang w:val="es-ES"/>
        </w:rPr>
      </w:pPr>
    </w:p>
    <w:p w14:paraId="57572B24" w14:textId="77777777" w:rsidR="00124738" w:rsidRDefault="00124738" w:rsidP="00A36608">
      <w:pPr>
        <w:pStyle w:val="Unternehmensportrait-H1"/>
        <w:rPr>
          <w:lang w:val="es-ES"/>
        </w:rPr>
      </w:pPr>
    </w:p>
    <w:p w14:paraId="295110C0" w14:textId="77777777" w:rsidR="00124738" w:rsidRDefault="00124738" w:rsidP="00A36608">
      <w:pPr>
        <w:pStyle w:val="Unternehmensportrait-H1"/>
        <w:rPr>
          <w:lang w:val="es-ES"/>
        </w:rPr>
      </w:pPr>
    </w:p>
    <w:p w14:paraId="5FD34B37" w14:textId="77777777" w:rsidR="00124738" w:rsidRDefault="00124738" w:rsidP="00A36608">
      <w:pPr>
        <w:pStyle w:val="Unternehmensportrait-H1"/>
        <w:rPr>
          <w:lang w:val="es-ES"/>
        </w:rPr>
      </w:pPr>
    </w:p>
    <w:p w14:paraId="47A098A1" w14:textId="77777777" w:rsidR="00124738" w:rsidRDefault="00124738" w:rsidP="00A36608">
      <w:pPr>
        <w:pStyle w:val="Unternehmensportrait-H1"/>
        <w:rPr>
          <w:lang w:val="es-ES"/>
        </w:rPr>
      </w:pPr>
    </w:p>
    <w:p w14:paraId="2810A7EA" w14:textId="77777777" w:rsidR="00124738" w:rsidRDefault="00124738" w:rsidP="00A36608">
      <w:pPr>
        <w:pStyle w:val="Unternehmensportrait-H1"/>
        <w:rPr>
          <w:lang w:val="es-ES"/>
        </w:rPr>
      </w:pPr>
    </w:p>
    <w:p w14:paraId="71E8F4EA" w14:textId="77777777" w:rsidR="00124738" w:rsidRDefault="00124738" w:rsidP="00A36608">
      <w:pPr>
        <w:pStyle w:val="Unternehmensportrait-H1"/>
        <w:rPr>
          <w:lang w:val="es-ES"/>
        </w:rPr>
      </w:pPr>
    </w:p>
    <w:p w14:paraId="1530F4F9" w14:textId="77777777" w:rsidR="00124738" w:rsidRDefault="00124738" w:rsidP="00A36608">
      <w:pPr>
        <w:pStyle w:val="Unternehmensportrait-H1"/>
        <w:rPr>
          <w:lang w:val="es-ES"/>
        </w:rPr>
      </w:pPr>
    </w:p>
    <w:p w14:paraId="3C41AEEB" w14:textId="77777777" w:rsidR="00124738" w:rsidRDefault="00124738" w:rsidP="00A36608">
      <w:pPr>
        <w:pStyle w:val="Unternehmensportrait-H1"/>
        <w:rPr>
          <w:lang w:val="es-ES"/>
        </w:rPr>
      </w:pPr>
    </w:p>
    <w:p w14:paraId="3E12C90A" w14:textId="77777777" w:rsidR="00124738" w:rsidRDefault="00124738" w:rsidP="00A36608">
      <w:pPr>
        <w:pStyle w:val="Unternehmensportrait-H1"/>
        <w:rPr>
          <w:lang w:val="es-ES"/>
        </w:rPr>
      </w:pPr>
    </w:p>
    <w:p w14:paraId="20A2114C" w14:textId="77777777" w:rsidR="00124738" w:rsidRDefault="00124738" w:rsidP="00A36608">
      <w:pPr>
        <w:pStyle w:val="Unternehmensportrait-H1"/>
        <w:rPr>
          <w:lang w:val="es-ES"/>
        </w:rPr>
      </w:pPr>
    </w:p>
    <w:p w14:paraId="7EC126B9" w14:textId="77777777" w:rsidR="00124738" w:rsidRDefault="00124738" w:rsidP="00A36608">
      <w:pPr>
        <w:pStyle w:val="Unternehmensportrait-H1"/>
        <w:rPr>
          <w:lang w:val="es-ES"/>
        </w:rPr>
      </w:pPr>
    </w:p>
    <w:p w14:paraId="7EEFC36B" w14:textId="77777777" w:rsidR="00124738" w:rsidRDefault="00124738" w:rsidP="00A36608">
      <w:pPr>
        <w:pStyle w:val="Unternehmensportrait-H1"/>
        <w:rPr>
          <w:lang w:val="es-ES"/>
        </w:rPr>
      </w:pPr>
    </w:p>
    <w:p w14:paraId="701A5433" w14:textId="77777777" w:rsidR="00124738" w:rsidRDefault="00124738" w:rsidP="00A36608">
      <w:pPr>
        <w:pStyle w:val="Unternehmensportrait-H1"/>
        <w:rPr>
          <w:lang w:val="es-ES"/>
        </w:rPr>
      </w:pPr>
    </w:p>
    <w:p w14:paraId="1F43A734" w14:textId="77777777" w:rsidR="00124738" w:rsidRDefault="00124738" w:rsidP="00A36608">
      <w:pPr>
        <w:pStyle w:val="Unternehmensportrait-H1"/>
        <w:rPr>
          <w:lang w:val="es-ES"/>
        </w:rPr>
      </w:pPr>
    </w:p>
    <w:p w14:paraId="14536531" w14:textId="77777777" w:rsidR="00124738" w:rsidRDefault="00124738" w:rsidP="00A36608">
      <w:pPr>
        <w:pStyle w:val="Unternehmensportrait-H1"/>
        <w:rPr>
          <w:lang w:val="es-ES"/>
        </w:rPr>
      </w:pPr>
    </w:p>
    <w:p w14:paraId="50CA01E6" w14:textId="77777777" w:rsidR="00124738" w:rsidRDefault="00124738" w:rsidP="00A36608">
      <w:pPr>
        <w:pStyle w:val="Unternehmensportrait-H1"/>
        <w:rPr>
          <w:lang w:val="es-ES"/>
        </w:rPr>
      </w:pPr>
    </w:p>
    <w:p w14:paraId="551CA2A9" w14:textId="77777777" w:rsidR="00124738" w:rsidRDefault="00124738" w:rsidP="00A36608">
      <w:pPr>
        <w:pStyle w:val="Unternehmensportrait-H1"/>
        <w:rPr>
          <w:lang w:val="es-ES"/>
        </w:rPr>
      </w:pPr>
    </w:p>
    <w:p w14:paraId="77C899B1" w14:textId="77777777" w:rsidR="00124738" w:rsidRDefault="00124738" w:rsidP="00A36608">
      <w:pPr>
        <w:pStyle w:val="Unternehmensportrait-H1"/>
        <w:rPr>
          <w:lang w:val="es-ES"/>
        </w:rPr>
      </w:pPr>
    </w:p>
    <w:p w14:paraId="1F0F2111" w14:textId="77777777" w:rsidR="00124738" w:rsidRDefault="00124738" w:rsidP="00A36608">
      <w:pPr>
        <w:pStyle w:val="Unternehmensportrait-H1"/>
        <w:rPr>
          <w:lang w:val="es-ES"/>
        </w:rPr>
      </w:pPr>
    </w:p>
    <w:p w14:paraId="61CBB2E1" w14:textId="77777777" w:rsidR="00124738" w:rsidRDefault="00124738" w:rsidP="00A36608">
      <w:pPr>
        <w:pStyle w:val="Unternehmensportrait-H1"/>
        <w:rPr>
          <w:lang w:val="es-ES"/>
        </w:rPr>
      </w:pPr>
    </w:p>
    <w:p w14:paraId="60B82E3C" w14:textId="77777777" w:rsidR="00124738" w:rsidRDefault="00124738" w:rsidP="00A36608">
      <w:pPr>
        <w:pStyle w:val="Unternehmensportrait-H1"/>
        <w:rPr>
          <w:lang w:val="es-ES"/>
        </w:rPr>
      </w:pPr>
    </w:p>
    <w:p w14:paraId="5A8FB603" w14:textId="5E9A4E3C" w:rsidR="00A36608" w:rsidRPr="0038728D" w:rsidRDefault="00A36608" w:rsidP="00A36608">
      <w:pPr>
        <w:pStyle w:val="Unternehmensportrait-H1"/>
        <w:rPr>
          <w:lang w:val="es-ES"/>
        </w:rPr>
      </w:pPr>
      <w:r w:rsidRPr="0038728D">
        <w:rPr>
          <w:lang w:val="es-ES"/>
        </w:rPr>
        <w:lastRenderedPageBreak/>
        <w:t>Rittal</w:t>
      </w:r>
    </w:p>
    <w:p w14:paraId="56468694" w14:textId="77777777" w:rsidR="00A36608" w:rsidRPr="0038728D" w:rsidRDefault="00A36608" w:rsidP="00A36608">
      <w:pPr>
        <w:pStyle w:val="Unternehmensportrait-Linie"/>
        <w:rPr>
          <w:lang w:val="es-ES"/>
        </w:rPr>
      </w:pPr>
    </w:p>
    <w:p w14:paraId="6AA5AE69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  <w:r w:rsidRPr="0038728D">
        <w:rPr>
          <w:lang w:val="es-ES"/>
        </w:rPr>
        <w:t>Rittal es un proveedor global líder de sistemas de recubrimientos, automatización e infraestructuras con sus unidades industriales, de TI, energía y energía, refrigeración y servicio. Los productos Rittal se utilizan en más del 90% de las industrias globales: estandarizados, personalizados y siempre de la mejor calidad.</w:t>
      </w:r>
    </w:p>
    <w:p w14:paraId="7120D965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</w:p>
    <w:p w14:paraId="1440DD13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  <w:r w:rsidRPr="0038728D">
        <w:rPr>
          <w:lang w:val="es-ES"/>
        </w:rPr>
        <w:t xml:space="preserve">Nuestro enfoque y metodología: Rittal, Rittal Software </w:t>
      </w:r>
      <w:proofErr w:type="spellStart"/>
      <w:r w:rsidRPr="0038728D">
        <w:rPr>
          <w:lang w:val="es-ES"/>
        </w:rPr>
        <w:t>Systems</w:t>
      </w:r>
      <w:proofErr w:type="spellEnd"/>
      <w:r w:rsidRPr="0038728D">
        <w:rPr>
          <w:lang w:val="es-ES"/>
        </w:rPr>
        <w:t xml:space="preserve"> (</w:t>
      </w:r>
      <w:proofErr w:type="spellStart"/>
      <w:r w:rsidRPr="0038728D">
        <w:rPr>
          <w:lang w:val="es-ES"/>
        </w:rPr>
        <w:t>Eplan</w:t>
      </w:r>
      <w:proofErr w:type="spellEnd"/>
      <w:r w:rsidRPr="0038728D">
        <w:rPr>
          <w:lang w:val="es-ES"/>
        </w:rPr>
        <w:t xml:space="preserve"> y </w:t>
      </w:r>
      <w:proofErr w:type="spellStart"/>
      <w:r w:rsidRPr="0038728D">
        <w:rPr>
          <w:lang w:val="es-ES"/>
        </w:rPr>
        <w:t>Cideon</w:t>
      </w:r>
      <w:proofErr w:type="spellEnd"/>
      <w:r w:rsidRPr="0038728D">
        <w:rPr>
          <w:lang w:val="es-ES"/>
        </w:rPr>
        <w:t xml:space="preserve">) y Rittal </w:t>
      </w:r>
      <w:proofErr w:type="spellStart"/>
      <w:r w:rsidRPr="0038728D">
        <w:rPr>
          <w:lang w:val="es-ES"/>
        </w:rPr>
        <w:t>Automation</w:t>
      </w:r>
      <w:proofErr w:type="spellEnd"/>
      <w:r w:rsidRPr="0038728D">
        <w:rPr>
          <w:lang w:val="es-ES"/>
        </w:rPr>
        <w:t xml:space="preserve"> </w:t>
      </w:r>
      <w:proofErr w:type="spellStart"/>
      <w:r w:rsidRPr="0038728D">
        <w:rPr>
          <w:lang w:val="es-ES"/>
        </w:rPr>
        <w:t>Systems</w:t>
      </w:r>
      <w:proofErr w:type="spellEnd"/>
      <w:r w:rsidRPr="0038728D">
        <w:rPr>
          <w:lang w:val="es-ES"/>
        </w:rPr>
        <w:t xml:space="preserve"> (RAS, </w:t>
      </w:r>
      <w:proofErr w:type="spellStart"/>
      <w:r w:rsidRPr="0038728D">
        <w:rPr>
          <w:lang w:val="es-ES"/>
        </w:rPr>
        <w:t>Ehrt</w:t>
      </w:r>
      <w:proofErr w:type="spellEnd"/>
      <w:r w:rsidRPr="0038728D">
        <w:rPr>
          <w:lang w:val="es-ES"/>
        </w:rPr>
        <w:t xml:space="preserve"> y </w:t>
      </w:r>
      <w:proofErr w:type="spellStart"/>
      <w:r w:rsidRPr="0038728D">
        <w:rPr>
          <w:lang w:val="es-ES"/>
        </w:rPr>
        <w:t>Alfra</w:t>
      </w:r>
      <w:proofErr w:type="spellEnd"/>
      <w:r w:rsidRPr="0038728D">
        <w:rPr>
          <w:lang w:val="es-ES"/>
        </w:rPr>
        <w:t>) combinan su experiencia en hardware y software para optimizar, optimizar e industrializar procesos en toda la cadena de valor de sus clientes, incluyendo su infraestructura informática – desde la construcción de control y conmutadores, la construcción de maquinaria hasta empresas manufactureras o el sector energético.</w:t>
      </w:r>
    </w:p>
    <w:p w14:paraId="176DCC3D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</w:p>
    <w:p w14:paraId="6A410BB0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  <w:r w:rsidRPr="0038728D">
        <w:rPr>
          <w:lang w:val="es-ES"/>
        </w:rPr>
        <w:t>Nuestra promesa de entrega: los productos estándar de Rittal se entregan en Alemania en 24 horas y en 48 horas en toda Europa.</w:t>
      </w:r>
    </w:p>
    <w:p w14:paraId="5C6A3C5F" w14:textId="77777777" w:rsidR="00A36608" w:rsidRPr="0038728D" w:rsidRDefault="00A36608" w:rsidP="00A36608">
      <w:pPr>
        <w:pStyle w:val="Unternehmensportrait-H2"/>
        <w:rPr>
          <w:spacing w:val="-2"/>
          <w:lang w:val="es-ES"/>
        </w:rPr>
      </w:pPr>
      <w:r w:rsidRPr="0038728D">
        <w:rPr>
          <w:lang w:val="es-ES"/>
        </w:rPr>
        <w:t>Enfoque en el cliente</w:t>
      </w:r>
    </w:p>
    <w:p w14:paraId="729AF5C1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  <w:r w:rsidRPr="0038728D">
        <w:rPr>
          <w:lang w:val="es-ES"/>
        </w:rPr>
        <w:t>Mejorar la eficiencia y aumentar la productividad mediante la automatización y la digitalización es uno de los mayores retos para nuestros clientes. Esto requiere un conocimiento y experiencia profundos, la combinación de hardware y software, y redes intersectoriales. Estamos convencidos de que crear y conectar salas de datos es crucial para el éxito de la transformación industrial. Y esa es precisamente nuestra especialidad y campo de competencia.</w:t>
      </w:r>
    </w:p>
    <w:p w14:paraId="3DD2E6DF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</w:p>
    <w:p w14:paraId="5EEFD94B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  <w:proofErr w:type="spellStart"/>
      <w:r w:rsidRPr="0038728D">
        <w:rPr>
          <w:lang w:val="es-ES"/>
        </w:rPr>
        <w:t>Eplan</w:t>
      </w:r>
      <w:proofErr w:type="spellEnd"/>
      <w:r w:rsidRPr="0038728D">
        <w:rPr>
          <w:lang w:val="es-ES"/>
        </w:rPr>
        <w:t xml:space="preserve"> y Rittal están impulsando el desarrollo del gemelo de automatización digital, haciendo que los datos sean accesibles y utilizables también en operaciones. </w:t>
      </w:r>
      <w:proofErr w:type="spellStart"/>
      <w:r w:rsidRPr="0038728D">
        <w:rPr>
          <w:lang w:val="es-ES"/>
        </w:rPr>
        <w:t>Cideon</w:t>
      </w:r>
      <w:proofErr w:type="spellEnd"/>
      <w:r w:rsidRPr="0038728D">
        <w:rPr>
          <w:lang w:val="es-ES"/>
        </w:rPr>
        <w:t xml:space="preserve"> está mejorando la consistencia de datos en el contexto del gemelo digital de productos con su experiencia en CAD/CAM, PDM/PLM y configuración de productos.</w:t>
      </w:r>
    </w:p>
    <w:p w14:paraId="326FFBBF" w14:textId="77777777" w:rsidR="00A36608" w:rsidRPr="0038728D" w:rsidRDefault="00A36608" w:rsidP="00A36608">
      <w:pPr>
        <w:pStyle w:val="Unternehmensportrait-H2"/>
        <w:rPr>
          <w:lang w:val="es-ES"/>
        </w:rPr>
      </w:pPr>
      <w:r w:rsidRPr="0038728D">
        <w:rPr>
          <w:lang w:val="es-ES"/>
        </w:rPr>
        <w:t>Sostenibilidad</w:t>
      </w:r>
    </w:p>
    <w:p w14:paraId="0D199EA3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  <w:r w:rsidRPr="0038728D">
        <w:rPr>
          <w:lang w:val="es-ES"/>
        </w:rPr>
        <w:t>La protección medioambiental y climática, la responsabilidad social y la gobernanza corporativa ética son algo habitual para Rittal. Nos tomamos muy en serio nuestra responsabilidad y responsabilidad por un futuro sostenible. Nuestro compromiso con la gestión y conservación de recursos incluye la mejora continua de nuestros propios procesos productivos, la minimización de la huella de carbono de nuestros productos y la provisión de soluciones que apoyen y ayuden a nuestros clientes a alcanzar sus propios objetivos climáticos.</w:t>
      </w:r>
    </w:p>
    <w:p w14:paraId="2AE79B4C" w14:textId="77777777" w:rsidR="00A36608" w:rsidRPr="0038728D" w:rsidRDefault="00A36608" w:rsidP="00A36608">
      <w:pPr>
        <w:pStyle w:val="Unternehmensportrait-H2"/>
        <w:rPr>
          <w:spacing w:val="-2"/>
          <w:lang w:val="es-ES"/>
        </w:rPr>
      </w:pPr>
      <w:r w:rsidRPr="0038728D">
        <w:rPr>
          <w:lang w:val="es-ES"/>
        </w:rPr>
        <w:t>Negocio familiar y actor global</w:t>
      </w:r>
    </w:p>
    <w:p w14:paraId="123D8269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  <w:r w:rsidRPr="0038728D">
        <w:rPr>
          <w:lang w:val="es-ES"/>
        </w:rPr>
        <w:t xml:space="preserve">Fundada en 1961, Rittal es la mayor empresa del grupo </w:t>
      </w:r>
      <w:proofErr w:type="spellStart"/>
      <w:r w:rsidRPr="0038728D">
        <w:rPr>
          <w:lang w:val="es-ES"/>
        </w:rPr>
        <w:t>Friedhelm</w:t>
      </w:r>
      <w:proofErr w:type="spellEnd"/>
      <w:r w:rsidRPr="0038728D">
        <w:rPr>
          <w:lang w:val="es-ES"/>
        </w:rPr>
        <w:t xml:space="preserve"> </w:t>
      </w:r>
      <w:proofErr w:type="spellStart"/>
      <w:r w:rsidRPr="0038728D">
        <w:rPr>
          <w:lang w:val="es-ES"/>
        </w:rPr>
        <w:t>Loh</w:t>
      </w:r>
      <w:proofErr w:type="spellEnd"/>
      <w:r w:rsidRPr="0038728D">
        <w:rPr>
          <w:lang w:val="es-ES"/>
        </w:rPr>
        <w:t xml:space="preserve">, gestionado por sus propietarios. El grupo opera a nivel mundial, con 13 centros de producción y 95 filiales internacionales. Cuenta con 12.600 empleados y registró unos ingresos de 3.100 millones de euros en el ejercicio fiscal 2024. En 2023, el Grupo </w:t>
      </w:r>
      <w:proofErr w:type="spellStart"/>
      <w:r w:rsidRPr="0038728D">
        <w:rPr>
          <w:lang w:val="es-ES"/>
        </w:rPr>
        <w:t>Friedhelm</w:t>
      </w:r>
      <w:proofErr w:type="spellEnd"/>
      <w:r w:rsidRPr="0038728D">
        <w:rPr>
          <w:lang w:val="es-ES"/>
        </w:rPr>
        <w:t xml:space="preserve"> </w:t>
      </w:r>
      <w:proofErr w:type="spellStart"/>
      <w:r w:rsidRPr="0038728D">
        <w:rPr>
          <w:lang w:val="es-ES"/>
        </w:rPr>
        <w:t>Loh</w:t>
      </w:r>
      <w:proofErr w:type="spellEnd"/>
      <w:r w:rsidRPr="0038728D">
        <w:rPr>
          <w:lang w:val="es-ES"/>
        </w:rPr>
        <w:t xml:space="preserve"> recibió los premios "Mejor Lugar para Aprender" y "Empleador del Futuro". En 2026, Rittal fue galardonada con el Top 100 </w:t>
      </w:r>
      <w:proofErr w:type="spellStart"/>
      <w:r w:rsidRPr="0038728D">
        <w:rPr>
          <w:lang w:val="es-ES"/>
        </w:rPr>
        <w:t>Seal</w:t>
      </w:r>
      <w:proofErr w:type="spellEnd"/>
      <w:r w:rsidRPr="0038728D">
        <w:rPr>
          <w:lang w:val="es-ES"/>
        </w:rPr>
        <w:t xml:space="preserve"> como una de las empresas medianas más innovadoras de Alemania por quinta vez consecutiva. En 2025, la planta de Rittal en </w:t>
      </w:r>
      <w:proofErr w:type="spellStart"/>
      <w:r w:rsidRPr="0038728D">
        <w:rPr>
          <w:lang w:val="es-ES"/>
        </w:rPr>
        <w:t>Haiger</w:t>
      </w:r>
      <w:proofErr w:type="spellEnd"/>
      <w:r w:rsidRPr="0038728D">
        <w:rPr>
          <w:lang w:val="es-ES"/>
        </w:rPr>
        <w:t xml:space="preserve"> ganó el primer puesto general en el concurso independiente y prestigioso "Fábrica del Año", que la reconoció como un símbolo de excelencia manufacturera y una de las mejores fábricas de Europa.</w:t>
      </w:r>
    </w:p>
    <w:p w14:paraId="5CC0BAC7" w14:textId="77777777" w:rsidR="00A36608" w:rsidRPr="0038728D" w:rsidRDefault="00A36608" w:rsidP="00A36608">
      <w:pPr>
        <w:pStyle w:val="Unternehmensportrait"/>
        <w:jc w:val="left"/>
        <w:rPr>
          <w:lang w:val="es-ES"/>
        </w:rPr>
      </w:pPr>
    </w:p>
    <w:p w14:paraId="68CA4CD1" w14:textId="77777777" w:rsidR="00A36608" w:rsidRPr="0038728D" w:rsidRDefault="00A36608" w:rsidP="00A36608">
      <w:pPr>
        <w:pStyle w:val="Unternehmensportrait"/>
        <w:jc w:val="left"/>
        <w:rPr>
          <w:spacing w:val="-2"/>
          <w:lang w:val="es-ES"/>
        </w:rPr>
      </w:pPr>
      <w:r w:rsidRPr="0038728D">
        <w:rPr>
          <w:lang w:val="es-ES"/>
        </w:rPr>
        <w:t>Para más información, visita www.rittal.com y www.friedhelm-loh-group.com.</w:t>
      </w:r>
    </w:p>
    <w:p w14:paraId="33F1D6AD" w14:textId="77777777" w:rsidR="00A36608" w:rsidRPr="0038728D" w:rsidRDefault="00A36608" w:rsidP="00A36608">
      <w:pPr>
        <w:pStyle w:val="Unternehmensportrait-Linie"/>
        <w:rPr>
          <w:lang w:val="es-ES"/>
        </w:rPr>
      </w:pPr>
    </w:p>
    <w:sectPr w:rsidR="00A36608" w:rsidRPr="0038728D" w:rsidSect="00F11D1D">
      <w:headerReference w:type="default" r:id="rId11"/>
      <w:footerReference w:type="default" r:id="rId12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28903A" w14:textId="77777777" w:rsidR="007C1BAC" w:rsidRDefault="007C1BAC" w:rsidP="00C437B6">
      <w:r>
        <w:separator/>
      </w:r>
    </w:p>
  </w:endnote>
  <w:endnote w:type="continuationSeparator" w:id="0">
    <w:p w14:paraId="08831288" w14:textId="77777777" w:rsidR="007C1BAC" w:rsidRDefault="007C1BAC" w:rsidP="00C437B6">
      <w:r>
        <w:continuationSeparator/>
      </w:r>
    </w:p>
  </w:endnote>
  <w:endnote w:type="continuationNotice" w:id="1">
    <w:p w14:paraId="45F89008" w14:textId="77777777" w:rsidR="002E6180" w:rsidRDefault="002E61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B567F" w14:textId="6C5208F2" w:rsidR="00202595" w:rsidRDefault="00B53034">
    <w:pPr>
      <w:pStyle w:val="Piedepgina"/>
    </w:pPr>
    <w:r w:rsidRPr="006270D1">
      <w:rPr>
        <w:noProof/>
      </w:rPr>
      <w:drawing>
        <wp:anchor distT="0" distB="0" distL="0" distR="0" simplePos="0" relativeHeight="251658241" behindDoc="0" locked="0" layoutInCell="1" allowOverlap="0" wp14:anchorId="370ED1DB" wp14:editId="5CD92332">
          <wp:simplePos x="0" y="0"/>
          <wp:positionH relativeFrom="margin">
            <wp:posOffset>-967740</wp:posOffset>
          </wp:positionH>
          <wp:positionV relativeFrom="topMargin">
            <wp:posOffset>9783584</wp:posOffset>
          </wp:positionV>
          <wp:extent cx="7773670" cy="182880"/>
          <wp:effectExtent l="0" t="0" r="0" b="0"/>
          <wp:wrapThrough wrapText="bothSides">
            <wp:wrapPolygon edited="0">
              <wp:start x="0" y="0"/>
              <wp:lineTo x="0" y="19500"/>
              <wp:lineTo x="21561" y="19500"/>
              <wp:lineTo x="21561" y="0"/>
              <wp:lineTo x="0" y="0"/>
            </wp:wrapPolygon>
          </wp:wrapThrough>
          <wp:docPr id="29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3670" cy="1828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szCs w:val="20"/>
      </w:rPr>
      <w:drawing>
        <wp:anchor distT="0" distB="0" distL="114300" distR="114300" simplePos="0" relativeHeight="251658242" behindDoc="1" locked="0" layoutInCell="1" allowOverlap="1" wp14:anchorId="6347FF42" wp14:editId="222E1FC1">
          <wp:simplePos x="0" y="0"/>
          <wp:positionH relativeFrom="page">
            <wp:posOffset>866140</wp:posOffset>
          </wp:positionH>
          <wp:positionV relativeFrom="page">
            <wp:posOffset>10275431</wp:posOffset>
          </wp:positionV>
          <wp:extent cx="1767840" cy="93345"/>
          <wp:effectExtent l="0" t="0" r="0" b="0"/>
          <wp:wrapNone/>
          <wp:docPr id="18" name="Bild 1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D96D1" w14:textId="77777777" w:rsidR="007C1BAC" w:rsidRDefault="007C1BAC" w:rsidP="00C437B6">
      <w:r>
        <w:separator/>
      </w:r>
    </w:p>
  </w:footnote>
  <w:footnote w:type="continuationSeparator" w:id="0">
    <w:p w14:paraId="2E547ACF" w14:textId="77777777" w:rsidR="007C1BAC" w:rsidRDefault="007C1BAC" w:rsidP="00C437B6">
      <w:r>
        <w:continuationSeparator/>
      </w:r>
    </w:p>
  </w:footnote>
  <w:footnote w:type="continuationNotice" w:id="1">
    <w:p w14:paraId="7B29A25E" w14:textId="77777777" w:rsidR="002E6180" w:rsidRDefault="002E61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AFF3A" w14:textId="3709C211" w:rsidR="00202595" w:rsidRDefault="00374F98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0C66E663" wp14:editId="2F4E028B">
              <wp:simplePos x="0" y="0"/>
              <wp:positionH relativeFrom="column">
                <wp:posOffset>33232</wp:posOffset>
              </wp:positionH>
              <wp:positionV relativeFrom="paragraph">
                <wp:posOffset>288924</wp:posOffset>
              </wp:positionV>
              <wp:extent cx="3689406" cy="766233"/>
              <wp:effectExtent l="0" t="0" r="25400" b="15240"/>
              <wp:wrapNone/>
              <wp:docPr id="1370117595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9406" cy="76623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4082FB0A" w14:textId="7C81280F" w:rsidR="00374F98" w:rsidRPr="0038728D" w:rsidRDefault="00374F98" w:rsidP="00374F98">
                          <w:pPr>
                            <w:rPr>
                              <w:lang w:val="es-ES"/>
                            </w:rPr>
                          </w:pPr>
                          <w:r w:rsidRPr="0038728D">
                            <w:rPr>
                              <w:lang w:val="es-ES"/>
                            </w:rPr>
                            <w:t xml:space="preserve">Rittal en </w:t>
                          </w:r>
                          <w:r w:rsidR="0038728D">
                            <w:rPr>
                              <w:lang w:val="es-ES"/>
                            </w:rPr>
                            <w:t xml:space="preserve">el </w:t>
                          </w:r>
                          <w:r w:rsidRPr="0038728D">
                            <w:rPr>
                              <w:lang w:val="es-ES"/>
                            </w:rPr>
                            <w:t xml:space="preserve">OCP EMEA </w:t>
                          </w:r>
                          <w:r w:rsidR="0038728D">
                            <w:rPr>
                              <w:lang w:val="es-ES"/>
                            </w:rPr>
                            <w:t xml:space="preserve">Summit </w:t>
                          </w:r>
                          <w:r w:rsidRPr="0038728D">
                            <w:rPr>
                              <w:lang w:val="es-ES"/>
                            </w:rPr>
                            <w:t>2026</w:t>
                          </w:r>
                        </w:p>
                        <w:p w14:paraId="7BE58612" w14:textId="77777777" w:rsidR="00374F98" w:rsidRPr="0038728D" w:rsidRDefault="00374F98" w:rsidP="00374F98">
                          <w:pPr>
                            <w:rPr>
                              <w:lang w:val="es-ES"/>
                            </w:rPr>
                          </w:pPr>
                          <w:r w:rsidRPr="0038728D">
                            <w:rPr>
                              <w:lang w:val="es-ES"/>
                            </w:rPr>
                            <w:t xml:space="preserve">Barcelona, 29–30 de abril, </w:t>
                          </w:r>
                          <w:proofErr w:type="spellStart"/>
                          <w:r w:rsidRPr="0038728D">
                            <w:rPr>
                              <w:lang w:val="es-ES"/>
                            </w:rPr>
                            <w:t>Booth</w:t>
                          </w:r>
                          <w:proofErr w:type="spellEnd"/>
                          <w:r w:rsidRPr="0038728D">
                            <w:rPr>
                              <w:lang w:val="es-ES"/>
                            </w:rPr>
                            <w:t xml:space="preserve"> A12</w:t>
                          </w:r>
                        </w:p>
                        <w:p w14:paraId="5A5A8CB8" w14:textId="2F555FC5" w:rsidR="00374F98" w:rsidRPr="0038728D" w:rsidRDefault="00374F98" w:rsidP="00374F98">
                          <w:pPr>
                            <w:rPr>
                              <w:lang w:val="es-ES"/>
                            </w:rPr>
                          </w:pPr>
                          <w:r w:rsidRPr="0038728D">
                            <w:rPr>
                              <w:lang w:val="es-ES"/>
                            </w:rPr>
                            <w:t>Conferencia principal: 29 de abril, 10:50 a.m., Nivel P1 - 115/116/117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C66E663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margin-left:2.6pt;margin-top:22.75pt;width:290.5pt;height:60.35pt;z-index:2516582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" fillcolor="white [3201]" strokeweight=".5pt">
              <v:textbox>
                <w:txbxContent>
                  <w:p w14:paraId="4082FB0A" w14:textId="7C81280F" w:rsidR="00374F98" w:rsidRPr="0038728D" w:rsidRDefault="00374F98" w:rsidP="00374F98">
                    <w:pPr>
                      <w:rPr>
                        <w:lang w:val="es-ES"/>
                      </w:rPr>
                    </w:pPr>
                    <w:r w:rsidRPr="0038728D">
                      <w:rPr>
                        <w:lang w:val="es-ES"/>
                      </w:rPr>
                      <w:t xml:space="preserve">Rittal en </w:t>
                    </w:r>
                    <w:r w:rsidR="0038728D">
                      <w:rPr>
                        <w:lang w:val="es-ES"/>
                      </w:rPr>
                      <w:t xml:space="preserve">el </w:t>
                    </w:r>
                    <w:r w:rsidRPr="0038728D">
                      <w:rPr>
                        <w:lang w:val="es-ES"/>
                      </w:rPr>
                      <w:t xml:space="preserve">OCP EMEA </w:t>
                    </w:r>
                    <w:r w:rsidR="0038728D">
                      <w:rPr>
                        <w:lang w:val="es-ES"/>
                      </w:rPr>
                      <w:t xml:space="preserve">Summit </w:t>
                    </w:r>
                    <w:r w:rsidRPr="0038728D">
                      <w:rPr>
                        <w:lang w:val="es-ES"/>
                      </w:rPr>
                      <w:t>2026</w:t>
                    </w:r>
                  </w:p>
                  <w:p w14:paraId="7BE58612" w14:textId="77777777" w:rsidR="00374F98" w:rsidRPr="0038728D" w:rsidRDefault="00374F98" w:rsidP="00374F98">
                    <w:pPr>
                      <w:rPr>
                        <w:lang w:val="es-ES"/>
                      </w:rPr>
                    </w:pPr>
                    <w:r w:rsidRPr="0038728D">
                      <w:rPr>
                        <w:lang w:val="es-ES"/>
                      </w:rPr>
                      <w:t xml:space="preserve">Barcelona, 29–30 de abril, </w:t>
                    </w:r>
                    <w:proofErr w:type="spellStart"/>
                    <w:r w:rsidRPr="0038728D">
                      <w:rPr>
                        <w:lang w:val="es-ES"/>
                      </w:rPr>
                      <w:t>Booth</w:t>
                    </w:r>
                    <w:proofErr w:type="spellEnd"/>
                    <w:r w:rsidRPr="0038728D">
                      <w:rPr>
                        <w:lang w:val="es-ES"/>
                      </w:rPr>
                      <w:t xml:space="preserve"> A12</w:t>
                    </w:r>
                  </w:p>
                  <w:p w14:paraId="5A5A8CB8" w14:textId="2F555FC5" w:rsidR="00374F98" w:rsidRPr="0038728D" w:rsidRDefault="00374F98" w:rsidP="00374F98">
                    <w:pPr>
                      <w:rPr>
                        <w:lang w:val="es-ES"/>
                      </w:rPr>
                    </w:pPr>
                    <w:r w:rsidRPr="0038728D">
                      <w:rPr>
                        <w:lang w:val="es-ES"/>
                      </w:rPr>
                      <w:t>Conferencia principal: 29 de abril, 10:50 a.m., Nivel P1 - 115/116/117</w:t>
                    </w:r>
                  </w:p>
                </w:txbxContent>
              </v:textbox>
            </v:shape>
          </w:pict>
        </mc:Fallback>
      </mc:AlternateContent>
    </w:r>
    <w:r w:rsidR="0011102D" w:rsidRPr="0011102D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4C9886F2" wp14:editId="63AD8C35">
          <wp:simplePos x="0" y="0"/>
          <wp:positionH relativeFrom="page">
            <wp:posOffset>6409055</wp:posOffset>
          </wp:positionH>
          <wp:positionV relativeFrom="page">
            <wp:posOffset>507365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36608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3" behindDoc="1" locked="0" layoutInCell="0" allowOverlap="1" wp14:anchorId="00F58628" wp14:editId="29C0DE3B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68877770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40DB85" w14:textId="2BCEE4E0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1" style="position:absolute;margin-left:68.05pt;margin-top:35.4pt;width:117pt;height:27.7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7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" w14:anchorId="00F58628">
              <v:textbox inset="0,0,0,0">
                <w:txbxContent>
                  <w:p w:rsidRPr="00E46942" w:rsidR="00202595" w:rsidP="00E46942" w:rsidRDefault="00202595" w14:paraId="5B40DB85" w14:textId="2BCEE4E0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  <w:lang w:val="Spanish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726951082">
    <w:abstractNumId w:val="10"/>
  </w:num>
  <w:num w:numId="2" w16cid:durableId="2005426273">
    <w:abstractNumId w:val="9"/>
  </w:num>
  <w:num w:numId="3" w16cid:durableId="1256984404">
    <w:abstractNumId w:val="7"/>
  </w:num>
  <w:num w:numId="4" w16cid:durableId="1265964965">
    <w:abstractNumId w:val="6"/>
  </w:num>
  <w:num w:numId="5" w16cid:durableId="1576281030">
    <w:abstractNumId w:val="5"/>
  </w:num>
  <w:num w:numId="6" w16cid:durableId="745614244">
    <w:abstractNumId w:val="4"/>
  </w:num>
  <w:num w:numId="7" w16cid:durableId="215898273">
    <w:abstractNumId w:val="8"/>
  </w:num>
  <w:num w:numId="8" w16cid:durableId="1673416183">
    <w:abstractNumId w:val="3"/>
  </w:num>
  <w:num w:numId="9" w16cid:durableId="1650481680">
    <w:abstractNumId w:val="2"/>
  </w:num>
  <w:num w:numId="10" w16cid:durableId="1142387273">
    <w:abstractNumId w:val="1"/>
  </w:num>
  <w:num w:numId="11" w16cid:durableId="587083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10D0A"/>
    <w:rsid w:val="00022489"/>
    <w:rsid w:val="00025AE7"/>
    <w:rsid w:val="00027B50"/>
    <w:rsid w:val="00034685"/>
    <w:rsid w:val="00037FD6"/>
    <w:rsid w:val="00047B15"/>
    <w:rsid w:val="00052DD2"/>
    <w:rsid w:val="00077076"/>
    <w:rsid w:val="00080930"/>
    <w:rsid w:val="0008293B"/>
    <w:rsid w:val="000902CE"/>
    <w:rsid w:val="000E7A2C"/>
    <w:rsid w:val="0011102D"/>
    <w:rsid w:val="00114302"/>
    <w:rsid w:val="00124738"/>
    <w:rsid w:val="001457E3"/>
    <w:rsid w:val="00145F70"/>
    <w:rsid w:val="001519D2"/>
    <w:rsid w:val="0015530B"/>
    <w:rsid w:val="001555FF"/>
    <w:rsid w:val="00175E28"/>
    <w:rsid w:val="001926CE"/>
    <w:rsid w:val="001B189F"/>
    <w:rsid w:val="001B59CC"/>
    <w:rsid w:val="001B7268"/>
    <w:rsid w:val="001C25B8"/>
    <w:rsid w:val="001D555B"/>
    <w:rsid w:val="001D6722"/>
    <w:rsid w:val="001E046B"/>
    <w:rsid w:val="001E78D8"/>
    <w:rsid w:val="002016FD"/>
    <w:rsid w:val="00202595"/>
    <w:rsid w:val="00211B44"/>
    <w:rsid w:val="00215DB2"/>
    <w:rsid w:val="0023718F"/>
    <w:rsid w:val="00251208"/>
    <w:rsid w:val="00261BBA"/>
    <w:rsid w:val="00274BBB"/>
    <w:rsid w:val="002A662A"/>
    <w:rsid w:val="002B742A"/>
    <w:rsid w:val="002C00E6"/>
    <w:rsid w:val="002C6615"/>
    <w:rsid w:val="002D139D"/>
    <w:rsid w:val="002D2830"/>
    <w:rsid w:val="002D3CA2"/>
    <w:rsid w:val="002E1F7F"/>
    <w:rsid w:val="002E6180"/>
    <w:rsid w:val="0030636B"/>
    <w:rsid w:val="0031514E"/>
    <w:rsid w:val="0033402A"/>
    <w:rsid w:val="00350E6C"/>
    <w:rsid w:val="00367B14"/>
    <w:rsid w:val="00374F98"/>
    <w:rsid w:val="00376C7E"/>
    <w:rsid w:val="00382043"/>
    <w:rsid w:val="0038728D"/>
    <w:rsid w:val="00397E80"/>
    <w:rsid w:val="003A45B8"/>
    <w:rsid w:val="003A7EAF"/>
    <w:rsid w:val="003B12EF"/>
    <w:rsid w:val="003B206B"/>
    <w:rsid w:val="003B413C"/>
    <w:rsid w:val="003C323C"/>
    <w:rsid w:val="003C464D"/>
    <w:rsid w:val="003E7A44"/>
    <w:rsid w:val="004158D2"/>
    <w:rsid w:val="00424077"/>
    <w:rsid w:val="0042557E"/>
    <w:rsid w:val="004305EE"/>
    <w:rsid w:val="00445DA2"/>
    <w:rsid w:val="00447C4E"/>
    <w:rsid w:val="00454741"/>
    <w:rsid w:val="00455B4F"/>
    <w:rsid w:val="00456F1A"/>
    <w:rsid w:val="004616A5"/>
    <w:rsid w:val="004643E3"/>
    <w:rsid w:val="004839D0"/>
    <w:rsid w:val="004845A9"/>
    <w:rsid w:val="004860F9"/>
    <w:rsid w:val="00486A98"/>
    <w:rsid w:val="004911AD"/>
    <w:rsid w:val="00494BB1"/>
    <w:rsid w:val="004B2CB2"/>
    <w:rsid w:val="004C3F58"/>
    <w:rsid w:val="004D56BD"/>
    <w:rsid w:val="004F229F"/>
    <w:rsid w:val="00512F78"/>
    <w:rsid w:val="00513BB5"/>
    <w:rsid w:val="00542350"/>
    <w:rsid w:val="005467FA"/>
    <w:rsid w:val="0055018D"/>
    <w:rsid w:val="00556081"/>
    <w:rsid w:val="0057573C"/>
    <w:rsid w:val="00584C14"/>
    <w:rsid w:val="005A0977"/>
    <w:rsid w:val="005A134E"/>
    <w:rsid w:val="005C45A6"/>
    <w:rsid w:val="005D33D3"/>
    <w:rsid w:val="005D7486"/>
    <w:rsid w:val="005F47D3"/>
    <w:rsid w:val="00613397"/>
    <w:rsid w:val="006270D1"/>
    <w:rsid w:val="006311CD"/>
    <w:rsid w:val="006467B0"/>
    <w:rsid w:val="00646FC5"/>
    <w:rsid w:val="006505AE"/>
    <w:rsid w:val="00650E38"/>
    <w:rsid w:val="00654F16"/>
    <w:rsid w:val="00655540"/>
    <w:rsid w:val="0065578E"/>
    <w:rsid w:val="0067568A"/>
    <w:rsid w:val="00681C6A"/>
    <w:rsid w:val="006922E1"/>
    <w:rsid w:val="006A2213"/>
    <w:rsid w:val="006B0F11"/>
    <w:rsid w:val="006C0224"/>
    <w:rsid w:val="006C2B8D"/>
    <w:rsid w:val="006C6990"/>
    <w:rsid w:val="006C7EF7"/>
    <w:rsid w:val="006D5EAA"/>
    <w:rsid w:val="006E6B91"/>
    <w:rsid w:val="006F451A"/>
    <w:rsid w:val="00701182"/>
    <w:rsid w:val="0070375D"/>
    <w:rsid w:val="00703E13"/>
    <w:rsid w:val="007306FA"/>
    <w:rsid w:val="007315EA"/>
    <w:rsid w:val="007379AB"/>
    <w:rsid w:val="00740DD6"/>
    <w:rsid w:val="00744D53"/>
    <w:rsid w:val="007568B6"/>
    <w:rsid w:val="00760BC1"/>
    <w:rsid w:val="00764DAD"/>
    <w:rsid w:val="007656D2"/>
    <w:rsid w:val="00770261"/>
    <w:rsid w:val="007B0D89"/>
    <w:rsid w:val="007C1BAC"/>
    <w:rsid w:val="007C2C27"/>
    <w:rsid w:val="007D60A7"/>
    <w:rsid w:val="007D7AE2"/>
    <w:rsid w:val="007D7EC5"/>
    <w:rsid w:val="00801528"/>
    <w:rsid w:val="00804BEC"/>
    <w:rsid w:val="00805E8F"/>
    <w:rsid w:val="0083064A"/>
    <w:rsid w:val="008610E2"/>
    <w:rsid w:val="00875457"/>
    <w:rsid w:val="00886E96"/>
    <w:rsid w:val="008912E2"/>
    <w:rsid w:val="008950B8"/>
    <w:rsid w:val="00895E52"/>
    <w:rsid w:val="008A1594"/>
    <w:rsid w:val="008F585B"/>
    <w:rsid w:val="008F58D0"/>
    <w:rsid w:val="008F5B7A"/>
    <w:rsid w:val="009058E3"/>
    <w:rsid w:val="00947C4F"/>
    <w:rsid w:val="0096582A"/>
    <w:rsid w:val="0098158D"/>
    <w:rsid w:val="00996B25"/>
    <w:rsid w:val="009A0F9D"/>
    <w:rsid w:val="009D411D"/>
    <w:rsid w:val="009D709C"/>
    <w:rsid w:val="009E0DC3"/>
    <w:rsid w:val="009E3CD4"/>
    <w:rsid w:val="009E4D10"/>
    <w:rsid w:val="009F2C88"/>
    <w:rsid w:val="009F3123"/>
    <w:rsid w:val="00A0608C"/>
    <w:rsid w:val="00A23870"/>
    <w:rsid w:val="00A36608"/>
    <w:rsid w:val="00A37B28"/>
    <w:rsid w:val="00A51035"/>
    <w:rsid w:val="00A51E33"/>
    <w:rsid w:val="00A51E5F"/>
    <w:rsid w:val="00A66242"/>
    <w:rsid w:val="00A71BED"/>
    <w:rsid w:val="00A73C13"/>
    <w:rsid w:val="00A7613D"/>
    <w:rsid w:val="00A836E2"/>
    <w:rsid w:val="00A90FC3"/>
    <w:rsid w:val="00AA6300"/>
    <w:rsid w:val="00AA6A2B"/>
    <w:rsid w:val="00AB1D49"/>
    <w:rsid w:val="00AC391D"/>
    <w:rsid w:val="00AD5C77"/>
    <w:rsid w:val="00B111ED"/>
    <w:rsid w:val="00B12E66"/>
    <w:rsid w:val="00B12FC3"/>
    <w:rsid w:val="00B2698F"/>
    <w:rsid w:val="00B317B0"/>
    <w:rsid w:val="00B42CC3"/>
    <w:rsid w:val="00B5087C"/>
    <w:rsid w:val="00B515D9"/>
    <w:rsid w:val="00B53034"/>
    <w:rsid w:val="00B70890"/>
    <w:rsid w:val="00B75E7A"/>
    <w:rsid w:val="00B8089B"/>
    <w:rsid w:val="00B921A4"/>
    <w:rsid w:val="00B92CEA"/>
    <w:rsid w:val="00B9325B"/>
    <w:rsid w:val="00BD1E6B"/>
    <w:rsid w:val="00BE100D"/>
    <w:rsid w:val="00C0410E"/>
    <w:rsid w:val="00C40907"/>
    <w:rsid w:val="00C437B6"/>
    <w:rsid w:val="00C54217"/>
    <w:rsid w:val="00C63973"/>
    <w:rsid w:val="00C66898"/>
    <w:rsid w:val="00C707D4"/>
    <w:rsid w:val="00C7714F"/>
    <w:rsid w:val="00C83B47"/>
    <w:rsid w:val="00C85246"/>
    <w:rsid w:val="00C933FC"/>
    <w:rsid w:val="00C9738B"/>
    <w:rsid w:val="00CA28D3"/>
    <w:rsid w:val="00CA4375"/>
    <w:rsid w:val="00CB1B61"/>
    <w:rsid w:val="00CC229D"/>
    <w:rsid w:val="00CC3274"/>
    <w:rsid w:val="00CC57AA"/>
    <w:rsid w:val="00CC6935"/>
    <w:rsid w:val="00CD7C6C"/>
    <w:rsid w:val="00CF7702"/>
    <w:rsid w:val="00D02577"/>
    <w:rsid w:val="00D02D5B"/>
    <w:rsid w:val="00D0666B"/>
    <w:rsid w:val="00D109A1"/>
    <w:rsid w:val="00D205F9"/>
    <w:rsid w:val="00D2409E"/>
    <w:rsid w:val="00D80B69"/>
    <w:rsid w:val="00D92FEF"/>
    <w:rsid w:val="00D97E91"/>
    <w:rsid w:val="00DA0AC1"/>
    <w:rsid w:val="00DA78A6"/>
    <w:rsid w:val="00DC7953"/>
    <w:rsid w:val="00DC7BEC"/>
    <w:rsid w:val="00DD48DF"/>
    <w:rsid w:val="00DE6A61"/>
    <w:rsid w:val="00DF3CF6"/>
    <w:rsid w:val="00E000F7"/>
    <w:rsid w:val="00E02D8D"/>
    <w:rsid w:val="00E427B7"/>
    <w:rsid w:val="00E4364C"/>
    <w:rsid w:val="00E43B92"/>
    <w:rsid w:val="00E45428"/>
    <w:rsid w:val="00E46942"/>
    <w:rsid w:val="00E7156E"/>
    <w:rsid w:val="00E8273E"/>
    <w:rsid w:val="00E92A6B"/>
    <w:rsid w:val="00EB1ED8"/>
    <w:rsid w:val="00ED17ED"/>
    <w:rsid w:val="00ED3D20"/>
    <w:rsid w:val="00EE2E8D"/>
    <w:rsid w:val="00EE437A"/>
    <w:rsid w:val="00F11D1D"/>
    <w:rsid w:val="00F11F96"/>
    <w:rsid w:val="00F2337B"/>
    <w:rsid w:val="00F34793"/>
    <w:rsid w:val="00F454C3"/>
    <w:rsid w:val="00F46C85"/>
    <w:rsid w:val="00F513BA"/>
    <w:rsid w:val="00F53B77"/>
    <w:rsid w:val="00F56180"/>
    <w:rsid w:val="00F61379"/>
    <w:rsid w:val="00F6727B"/>
    <w:rsid w:val="00F87B82"/>
    <w:rsid w:val="00F90E37"/>
    <w:rsid w:val="00F94098"/>
    <w:rsid w:val="00FB1403"/>
    <w:rsid w:val="00FC3A8C"/>
    <w:rsid w:val="00FD4CFC"/>
    <w:rsid w:val="00FE5478"/>
    <w:rsid w:val="00FE6E65"/>
    <w:rsid w:val="00FF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EF2DCC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paragraph" w:customStyle="1" w:styleId="Default">
    <w:name w:val="Default"/>
    <w:rsid w:val="005423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54235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37B28"/>
    <w:rPr>
      <w:color w:val="800080" w:themeColor="followed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703E1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03E1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03E13"/>
    <w:rPr>
      <w:rFonts w:ascii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03E1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03E13"/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2B742A"/>
    <w:pPr>
      <w:spacing w:after="0" w:line="240" w:lineRule="auto"/>
    </w:pPr>
    <w:rPr>
      <w:rFonts w:ascii="Arial" w:hAnsi="Arial" w:cs="Arial"/>
    </w:rPr>
  </w:style>
  <w:style w:type="character" w:styleId="Textodelmarcadordeposicin">
    <w:name w:val="Placeholder Text"/>
    <w:basedOn w:val="Fuentedeprrafopredeter"/>
    <w:uiPriority w:val="99"/>
    <w:semiHidden/>
    <w:rsid w:val="0038728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63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6200BFC-BDD6-4FDF-B206-E2675FC824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4BAA1C-271B-47C8-9478-19C77B501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21A085-8F38-43AC-8DC6-F0F3EAC112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85CBD95-DA2E-4330-AC06-122BA2488BDA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1306</Words>
  <Characters>7416</Characters>
  <Application>Microsoft Office Word</Application>
  <DocSecurity>0</DocSecurity>
  <Lines>61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OCM GmbH</Company>
  <LinksUpToDate>false</LinksUpToDate>
  <CharactersWithSpaces>8705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ideaPad1</dc:creator>
  <cp:lastModifiedBy>Nuria Poch</cp:lastModifiedBy>
  <cp:revision>5</cp:revision>
  <cp:lastPrinted>2026-04-17T09:12:00Z</cp:lastPrinted>
  <dcterms:created xsi:type="dcterms:W3CDTF">2026-04-30T10:09:00Z</dcterms:created>
  <dcterms:modified xsi:type="dcterms:W3CDTF">2026-04-30T14:38:00Z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64e29b7570e7e0f1bb3e64372e32ac4ec6662b6f2531cc3e681baccf8a7917c2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2026-03-05T13:44:40Z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c9378411-19c0-4a97-9706-80eb282f17c8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  <property fmtid="{D5CDD505-2E9C-101B-9397-08002B2CF9AE}" pid="13" name="ContentTypeId">
    <vt:lpwstr>0x0101007DAE9CA7D8058048B50D46784D8FAF0D</vt:lpwstr>
  </property>
  <property fmtid="{D5CDD505-2E9C-101B-9397-08002B2CF9AE}" pid="14" name="MediaServiceImageTags">
    <vt:lpwstr/>
  </property>
</Properties>
</file>