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155A4007" w:rsidR="00034685" w:rsidRPr="00E87B30" w:rsidRDefault="00024B49" w:rsidP="00D80B69">
      <w:pPr>
        <w:pStyle w:val="berschrift-H2"/>
        <w:rPr>
          <w:lang w:val="es-ES"/>
        </w:rPr>
      </w:pPr>
      <w:r w:rsidRPr="00E87B30">
        <w:rPr>
          <w:lang w:val="es-ES"/>
        </w:rPr>
        <w:t xml:space="preserve">Rittal ofrece </w:t>
      </w:r>
      <w:r w:rsidR="00E05F99">
        <w:rPr>
          <w:lang w:val="es-ES"/>
        </w:rPr>
        <w:t>refrigeradores</w:t>
      </w:r>
      <w:r w:rsidRPr="00E87B30">
        <w:rPr>
          <w:lang w:val="es-ES"/>
        </w:rPr>
        <w:t xml:space="preserve"> y </w:t>
      </w:r>
      <w:proofErr w:type="spellStart"/>
      <w:r w:rsidR="00E05F99">
        <w:rPr>
          <w:lang w:val="es-ES"/>
        </w:rPr>
        <w:t>chillers</w:t>
      </w:r>
      <w:proofErr w:type="spellEnd"/>
      <w:r w:rsidR="00E05F99">
        <w:rPr>
          <w:lang w:val="es-ES"/>
        </w:rPr>
        <w:t xml:space="preserve"> preparadas para el futuro</w:t>
      </w:r>
    </w:p>
    <w:p w14:paraId="031D34B4" w14:textId="0EE2F57C" w:rsidR="0030636B" w:rsidRPr="00E87B30" w:rsidRDefault="00024B49" w:rsidP="00D80B69">
      <w:pPr>
        <w:pStyle w:val="berschrift-H1"/>
        <w:rPr>
          <w:lang w:val="es-ES"/>
        </w:rPr>
      </w:pPr>
      <w:r w:rsidRPr="00E87B30">
        <w:rPr>
          <w:lang w:val="es-ES"/>
        </w:rPr>
        <w:t xml:space="preserve">Nuevo </w:t>
      </w:r>
      <w:r w:rsidR="00E05F99">
        <w:rPr>
          <w:lang w:val="es-ES"/>
        </w:rPr>
        <w:t>enfoque</w:t>
      </w:r>
      <w:r w:rsidRPr="00E87B30">
        <w:rPr>
          <w:lang w:val="es-ES"/>
        </w:rPr>
        <w:t xml:space="preserve"> para</w:t>
      </w:r>
      <w:r w:rsidR="00E05F99">
        <w:rPr>
          <w:lang w:val="es-ES"/>
        </w:rPr>
        <w:t xml:space="preserve"> los</w:t>
      </w:r>
      <w:r w:rsidRPr="00E87B30">
        <w:rPr>
          <w:lang w:val="es-ES"/>
        </w:rPr>
        <w:t xml:space="preserve"> refrigerantes</w:t>
      </w:r>
    </w:p>
    <w:p w14:paraId="28FB8BA0" w14:textId="259D3BB4" w:rsidR="0030636B" w:rsidRPr="00E87B30" w:rsidRDefault="000F55FF" w:rsidP="00D80B69">
      <w:pPr>
        <w:pStyle w:val="Ort-Datum"/>
        <w:rPr>
          <w:lang w:val="es-ES"/>
        </w:rPr>
      </w:pPr>
      <w:r w:rsidRPr="00E87B30">
        <w:rPr>
          <w:lang w:val="es-ES"/>
        </w:rPr>
        <w:t>Herborn</w:t>
      </w:r>
      <w:r w:rsidR="00E907E5">
        <w:rPr>
          <w:lang w:val="es-ES"/>
        </w:rPr>
        <w:t xml:space="preserve"> 2</w:t>
      </w:r>
      <w:r w:rsidR="00E05F99">
        <w:rPr>
          <w:lang w:val="es-ES"/>
        </w:rPr>
        <w:t>5</w:t>
      </w:r>
      <w:r w:rsidR="00E907E5">
        <w:rPr>
          <w:lang w:val="es-ES"/>
        </w:rPr>
        <w:t>/05/2026</w:t>
      </w:r>
    </w:p>
    <w:p w14:paraId="07526BEF" w14:textId="09198ED9" w:rsidR="004C30CC" w:rsidRPr="00E87B30" w:rsidRDefault="004C30CC" w:rsidP="00E907E5">
      <w:pPr>
        <w:pStyle w:val="Copytext-Intro"/>
        <w:shd w:val="clear" w:color="auto" w:fill="FFFFFF" w:themeFill="background1"/>
        <w:ind w:right="793"/>
        <w:jc w:val="both"/>
        <w:rPr>
          <w:lang w:val="es-ES"/>
        </w:rPr>
      </w:pPr>
      <w:r w:rsidRPr="00E87B30">
        <w:rPr>
          <w:lang w:val="es-ES"/>
        </w:rPr>
        <w:t>En 2027, entrarán en vigor nuev</w:t>
      </w:r>
      <w:r w:rsidR="00E87B30">
        <w:rPr>
          <w:lang w:val="es-ES"/>
        </w:rPr>
        <w:t>o</w:t>
      </w:r>
      <w:r w:rsidRPr="00E87B30">
        <w:rPr>
          <w:lang w:val="es-ES"/>
        </w:rPr>
        <w:t xml:space="preserve">s </w:t>
      </w:r>
      <w:r w:rsidR="00E87B30">
        <w:rPr>
          <w:lang w:val="es-ES"/>
        </w:rPr>
        <w:t>reglamentos</w:t>
      </w:r>
      <w:r w:rsidRPr="00E87B30">
        <w:rPr>
          <w:lang w:val="es-ES"/>
        </w:rPr>
        <w:t xml:space="preserve"> de la UE que </w:t>
      </w:r>
      <w:r w:rsidR="00E87B30">
        <w:rPr>
          <w:lang w:val="es-ES"/>
        </w:rPr>
        <w:t>restringirán</w:t>
      </w:r>
      <w:r w:rsidRPr="00E87B30">
        <w:rPr>
          <w:lang w:val="es-ES"/>
        </w:rPr>
        <w:t xml:space="preserve"> aún más el uso de refrigerantes </w:t>
      </w:r>
      <w:r w:rsidR="00E87B30">
        <w:rPr>
          <w:lang w:val="es-ES"/>
        </w:rPr>
        <w:t>en maquinaria nueva</w:t>
      </w:r>
      <w:r w:rsidRPr="00E87B30">
        <w:rPr>
          <w:lang w:val="es-ES"/>
        </w:rPr>
        <w:t xml:space="preserve">. En el futuro, muchos refrigerantes </w:t>
      </w:r>
      <w:r w:rsidR="00E87B30">
        <w:rPr>
          <w:lang w:val="es-ES"/>
        </w:rPr>
        <w:t>dejarán de estar autorizados para su comercialización.</w:t>
      </w:r>
      <w:r w:rsidRPr="00E87B30">
        <w:rPr>
          <w:lang w:val="es-ES"/>
        </w:rPr>
        <w:t xml:space="preserve"> Esto afectará a </w:t>
      </w:r>
      <w:r w:rsidR="00E87B30">
        <w:rPr>
          <w:lang w:val="es-ES"/>
        </w:rPr>
        <w:t>numerosas</w:t>
      </w:r>
      <w:r w:rsidRPr="00E87B30">
        <w:rPr>
          <w:lang w:val="es-ES"/>
        </w:rPr>
        <w:t xml:space="preserve"> máquinas y sistemas en los que se instal</w:t>
      </w:r>
      <w:r w:rsidR="00E87B30">
        <w:rPr>
          <w:lang w:val="es-ES"/>
        </w:rPr>
        <w:t>a</w:t>
      </w:r>
      <w:r w:rsidRPr="00E87B30">
        <w:rPr>
          <w:lang w:val="es-ES"/>
        </w:rPr>
        <w:t xml:space="preserve">n unidades de </w:t>
      </w:r>
      <w:r w:rsidR="00E87B30">
        <w:rPr>
          <w:lang w:val="es-ES"/>
        </w:rPr>
        <w:t xml:space="preserve">climatización de armarios o </w:t>
      </w:r>
      <w:proofErr w:type="spellStart"/>
      <w:r w:rsidR="00E87B30">
        <w:rPr>
          <w:lang w:val="es-ES"/>
        </w:rPr>
        <w:t>chillers</w:t>
      </w:r>
      <w:proofErr w:type="spellEnd"/>
      <w:r w:rsidRPr="00E87B30">
        <w:rPr>
          <w:lang w:val="es-ES"/>
        </w:rPr>
        <w:t xml:space="preserve">. Rittal ofrece </w:t>
      </w:r>
      <w:r w:rsidR="00E87B30">
        <w:rPr>
          <w:lang w:val="es-ES"/>
        </w:rPr>
        <w:t xml:space="preserve">una amplia gama de refrigeradores que </w:t>
      </w:r>
      <w:r w:rsidRPr="00E87B30">
        <w:rPr>
          <w:lang w:val="es-ES"/>
        </w:rPr>
        <w:t xml:space="preserve">utilizan el nuevo refrigerante R-1234yf, </w:t>
      </w:r>
      <w:r w:rsidR="00E87B30">
        <w:rPr>
          <w:lang w:val="es-ES"/>
        </w:rPr>
        <w:t xml:space="preserve">lo que permite a los </w:t>
      </w:r>
      <w:r w:rsidRPr="00E87B30">
        <w:rPr>
          <w:lang w:val="es-ES"/>
        </w:rPr>
        <w:t>fabricantes de m</w:t>
      </w:r>
      <w:r w:rsidR="00E87B30">
        <w:rPr>
          <w:lang w:val="es-ES"/>
        </w:rPr>
        <w:t>a</w:t>
      </w:r>
      <w:r w:rsidRPr="00E87B30">
        <w:rPr>
          <w:lang w:val="es-ES"/>
        </w:rPr>
        <w:t>quina</w:t>
      </w:r>
      <w:r w:rsidR="00E87B30">
        <w:rPr>
          <w:lang w:val="es-ES"/>
        </w:rPr>
        <w:t>ria adaptar sus productos a futuros requisitos regulatorios, e</w:t>
      </w:r>
      <w:r w:rsidRPr="00E87B30">
        <w:rPr>
          <w:lang w:val="es-ES"/>
        </w:rPr>
        <w:t>n la mayoría de los casos sin</w:t>
      </w:r>
      <w:r w:rsidR="00E87B30">
        <w:rPr>
          <w:lang w:val="es-ES"/>
        </w:rPr>
        <w:t xml:space="preserve"> necesidad de realizar</w:t>
      </w:r>
      <w:r w:rsidRPr="00E87B30">
        <w:rPr>
          <w:lang w:val="es-ES"/>
        </w:rPr>
        <w:t xml:space="preserve"> modificaciones adicionales.</w:t>
      </w:r>
    </w:p>
    <w:p w14:paraId="6A11F9FA" w14:textId="54F7C75F" w:rsidR="008F5489" w:rsidRPr="00E87B30" w:rsidRDefault="008F5489" w:rsidP="00E907E5">
      <w:pPr>
        <w:pStyle w:val="Copytext-Intro"/>
        <w:spacing w:before="0" w:after="0"/>
        <w:ind w:right="793"/>
        <w:jc w:val="both"/>
        <w:rPr>
          <w:b w:val="0"/>
          <w:bCs/>
          <w:lang w:val="es-ES"/>
        </w:rPr>
      </w:pPr>
      <w:r w:rsidRPr="00E87B30">
        <w:rPr>
          <w:b w:val="0"/>
          <w:lang w:val="es-ES"/>
        </w:rPr>
        <w:t xml:space="preserve">A partir del 1 de enero de 2027, el Reglamento de la UE 2024/573 restringirá el uso de refrigerantes en </w:t>
      </w:r>
      <w:r w:rsidR="00E87B30">
        <w:rPr>
          <w:b w:val="0"/>
          <w:lang w:val="es-ES"/>
        </w:rPr>
        <w:t>refrigeradores</w:t>
      </w:r>
      <w:r w:rsidRPr="00E87B30">
        <w:rPr>
          <w:b w:val="0"/>
          <w:lang w:val="es-ES"/>
        </w:rPr>
        <w:t xml:space="preserve"> y</w:t>
      </w:r>
      <w:r w:rsidR="00E87B30">
        <w:rPr>
          <w:b w:val="0"/>
          <w:lang w:val="es-ES"/>
        </w:rPr>
        <w:t xml:space="preserve"> </w:t>
      </w:r>
      <w:proofErr w:type="spellStart"/>
      <w:r w:rsidR="00E87B30">
        <w:rPr>
          <w:b w:val="0"/>
          <w:lang w:val="es-ES"/>
        </w:rPr>
        <w:t>chillers</w:t>
      </w:r>
      <w:proofErr w:type="spellEnd"/>
      <w:r w:rsidRPr="00E87B30">
        <w:rPr>
          <w:b w:val="0"/>
          <w:lang w:val="es-ES"/>
        </w:rPr>
        <w:t xml:space="preserve"> con una potencia de refrigeración inferior a 12 kW. </w:t>
      </w:r>
      <w:r w:rsidR="00E87B30">
        <w:rPr>
          <w:b w:val="0"/>
          <w:lang w:val="es-ES"/>
        </w:rPr>
        <w:t>A partir de esa fecha, s</w:t>
      </w:r>
      <w:r w:rsidRPr="00E87B30">
        <w:rPr>
          <w:b w:val="0"/>
          <w:lang w:val="es-ES"/>
        </w:rPr>
        <w:t>olo</w:t>
      </w:r>
      <w:r w:rsidR="00E87B30">
        <w:rPr>
          <w:b w:val="0"/>
          <w:lang w:val="es-ES"/>
        </w:rPr>
        <w:t xml:space="preserve"> podrán comercializarse en la UE refrigeradores que utilicen refrigerantes con un PCA</w:t>
      </w:r>
      <w:r w:rsidRPr="00E87B30">
        <w:rPr>
          <w:b w:val="0"/>
          <w:lang w:val="es-ES"/>
        </w:rPr>
        <w:t xml:space="preserve"> (Potencial de Calentamiento </w:t>
      </w:r>
      <w:r w:rsidR="00E87B30">
        <w:rPr>
          <w:b w:val="0"/>
          <w:lang w:val="es-ES"/>
        </w:rPr>
        <w:t>Atmosférico</w:t>
      </w:r>
      <w:r w:rsidRPr="00E87B30">
        <w:rPr>
          <w:b w:val="0"/>
          <w:lang w:val="es-ES"/>
        </w:rPr>
        <w:t>) inferior a 150. A partir de 2032, ya no será posible utilizar refrigerantes que contengan gases fluorados (</w:t>
      </w:r>
      <w:r w:rsidR="00E87B30">
        <w:rPr>
          <w:b w:val="0"/>
          <w:lang w:val="es-ES"/>
        </w:rPr>
        <w:t>F-gas</w:t>
      </w:r>
      <w:r w:rsidRPr="00E87B30">
        <w:rPr>
          <w:b w:val="0"/>
          <w:lang w:val="es-ES"/>
        </w:rPr>
        <w:t xml:space="preserve">) en estos productos. </w:t>
      </w:r>
      <w:r w:rsidR="00E87B30">
        <w:rPr>
          <w:b w:val="0"/>
          <w:lang w:val="es-ES"/>
        </w:rPr>
        <w:t xml:space="preserve">En el caso de las </w:t>
      </w:r>
      <w:proofErr w:type="spellStart"/>
      <w:r w:rsidR="00E87B30">
        <w:rPr>
          <w:b w:val="0"/>
          <w:lang w:val="es-ES"/>
        </w:rPr>
        <w:t>chillers</w:t>
      </w:r>
      <w:proofErr w:type="spellEnd"/>
      <w:r w:rsidR="00E87B30">
        <w:rPr>
          <w:b w:val="0"/>
          <w:lang w:val="es-ES"/>
        </w:rPr>
        <w:t xml:space="preserve"> con una </w:t>
      </w:r>
      <w:r w:rsidRPr="00E87B30">
        <w:rPr>
          <w:b w:val="0"/>
          <w:lang w:val="es-ES"/>
        </w:rPr>
        <w:t xml:space="preserve">potencia de refrigeración superior a 12 kW que se </w:t>
      </w:r>
      <w:r w:rsidR="00E87B30">
        <w:rPr>
          <w:b w:val="0"/>
          <w:lang w:val="es-ES"/>
        </w:rPr>
        <w:t>comercialicen a partir de 2027, única</w:t>
      </w:r>
      <w:r w:rsidRPr="00E87B30">
        <w:rPr>
          <w:b w:val="0"/>
          <w:lang w:val="es-ES"/>
        </w:rPr>
        <w:t xml:space="preserve">mente </w:t>
      </w:r>
      <w:r w:rsidR="00E87B30">
        <w:rPr>
          <w:b w:val="0"/>
          <w:lang w:val="es-ES"/>
        </w:rPr>
        <w:t xml:space="preserve">deberán </w:t>
      </w:r>
      <w:r w:rsidR="00E87B30" w:rsidRPr="0084071B">
        <w:rPr>
          <w:b w:val="0"/>
          <w:lang w:val="es-ES"/>
        </w:rPr>
        <w:t>emp</w:t>
      </w:r>
      <w:r w:rsidR="004F5019" w:rsidRPr="0084071B">
        <w:rPr>
          <w:b w:val="0"/>
          <w:lang w:val="es-ES"/>
        </w:rPr>
        <w:t>le</w:t>
      </w:r>
      <w:r w:rsidR="00E87B30" w:rsidRPr="0084071B">
        <w:rPr>
          <w:b w:val="0"/>
          <w:lang w:val="es-ES"/>
        </w:rPr>
        <w:t>arse</w:t>
      </w:r>
      <w:r w:rsidR="00E87B30">
        <w:rPr>
          <w:b w:val="0"/>
          <w:lang w:val="es-ES"/>
        </w:rPr>
        <w:t xml:space="preserve"> </w:t>
      </w:r>
      <w:r w:rsidRPr="00E87B30">
        <w:rPr>
          <w:b w:val="0"/>
          <w:lang w:val="es-ES"/>
        </w:rPr>
        <w:t xml:space="preserve">refrigerantes con un </w:t>
      </w:r>
      <w:r w:rsidR="00E87B30">
        <w:rPr>
          <w:b w:val="0"/>
          <w:lang w:val="es-ES"/>
        </w:rPr>
        <w:t>PCA</w:t>
      </w:r>
      <w:r w:rsidRPr="00E87B30">
        <w:rPr>
          <w:b w:val="0"/>
          <w:lang w:val="es-ES"/>
        </w:rPr>
        <w:t xml:space="preserve"> </w:t>
      </w:r>
      <w:r w:rsidR="00E87B30">
        <w:rPr>
          <w:b w:val="0"/>
          <w:lang w:val="es-ES"/>
        </w:rPr>
        <w:t xml:space="preserve">inferior a </w:t>
      </w:r>
      <w:r w:rsidRPr="00E87B30">
        <w:rPr>
          <w:b w:val="0"/>
          <w:lang w:val="es-ES"/>
        </w:rPr>
        <w:t xml:space="preserve">750.  </w:t>
      </w:r>
      <w:r w:rsidR="00E87B30">
        <w:rPr>
          <w:b w:val="0"/>
          <w:lang w:val="es-ES"/>
        </w:rPr>
        <w:t>Asimismo, o</w:t>
      </w:r>
      <w:r w:rsidRPr="00E87B30">
        <w:rPr>
          <w:b w:val="0"/>
          <w:lang w:val="es-ES"/>
        </w:rPr>
        <w:t>tr</w:t>
      </w:r>
      <w:r w:rsidR="00E87B30">
        <w:rPr>
          <w:b w:val="0"/>
          <w:lang w:val="es-ES"/>
        </w:rPr>
        <w:t>os reglamentos</w:t>
      </w:r>
      <w:r w:rsidRPr="00E87B30">
        <w:rPr>
          <w:b w:val="0"/>
          <w:lang w:val="es-ES"/>
        </w:rPr>
        <w:t xml:space="preserve"> internacionales, como l</w:t>
      </w:r>
      <w:r w:rsidR="00E87B30">
        <w:rPr>
          <w:b w:val="0"/>
          <w:lang w:val="es-ES"/>
        </w:rPr>
        <w:t>o</w:t>
      </w:r>
      <w:r w:rsidRPr="00E87B30">
        <w:rPr>
          <w:b w:val="0"/>
          <w:lang w:val="es-ES"/>
        </w:rPr>
        <w:t xml:space="preserve">s de </w:t>
      </w:r>
      <w:r w:rsidR="00E87B30">
        <w:rPr>
          <w:b w:val="0"/>
          <w:lang w:val="es-ES"/>
        </w:rPr>
        <w:t>Estados Unidos</w:t>
      </w:r>
      <w:r w:rsidRPr="00E87B30">
        <w:rPr>
          <w:b w:val="0"/>
          <w:lang w:val="es-ES"/>
        </w:rPr>
        <w:t>,</w:t>
      </w:r>
      <w:r w:rsidR="00E87B30">
        <w:rPr>
          <w:b w:val="0"/>
          <w:lang w:val="es-ES"/>
        </w:rPr>
        <w:t xml:space="preserve"> ya</w:t>
      </w:r>
      <w:r w:rsidRPr="00E87B30">
        <w:rPr>
          <w:b w:val="0"/>
          <w:lang w:val="es-ES"/>
        </w:rPr>
        <w:t xml:space="preserve"> han establecido</w:t>
      </w:r>
      <w:r w:rsidR="00E87B30">
        <w:rPr>
          <w:b w:val="0"/>
          <w:lang w:val="es-ES"/>
        </w:rPr>
        <w:t xml:space="preserve"> desde 2025</w:t>
      </w:r>
      <w:r w:rsidRPr="00E87B30">
        <w:rPr>
          <w:b w:val="0"/>
          <w:lang w:val="es-ES"/>
        </w:rPr>
        <w:t xml:space="preserve"> un</w:t>
      </w:r>
      <w:r w:rsidR="00E87B30">
        <w:rPr>
          <w:b w:val="0"/>
          <w:lang w:val="es-ES"/>
        </w:rPr>
        <w:t xml:space="preserve"> límite de</w:t>
      </w:r>
      <w:r w:rsidRPr="00E87B30">
        <w:rPr>
          <w:b w:val="0"/>
          <w:lang w:val="es-ES"/>
        </w:rPr>
        <w:t xml:space="preserve"> </w:t>
      </w:r>
      <w:r w:rsidR="00E87B30">
        <w:rPr>
          <w:b w:val="0"/>
          <w:lang w:val="es-ES"/>
        </w:rPr>
        <w:t>PCA</w:t>
      </w:r>
      <w:r w:rsidRPr="00E87B30">
        <w:rPr>
          <w:b w:val="0"/>
          <w:lang w:val="es-ES"/>
        </w:rPr>
        <w:t xml:space="preserve"> de 700 para</w:t>
      </w:r>
      <w:r w:rsidR="00E87B30">
        <w:rPr>
          <w:b w:val="0"/>
          <w:lang w:val="es-ES"/>
        </w:rPr>
        <w:t xml:space="preserve"> los</w:t>
      </w:r>
      <w:r w:rsidRPr="00E87B30">
        <w:rPr>
          <w:b w:val="0"/>
          <w:lang w:val="es-ES"/>
        </w:rPr>
        <w:t xml:space="preserve"> refrigerantes</w:t>
      </w:r>
      <w:r w:rsidR="00E87B30">
        <w:rPr>
          <w:b w:val="0"/>
          <w:lang w:val="es-ES"/>
        </w:rPr>
        <w:t xml:space="preserve"> utilizados en este tipo de equipos.</w:t>
      </w:r>
      <w:r w:rsidRPr="00E87B30">
        <w:rPr>
          <w:b w:val="0"/>
          <w:lang w:val="es-ES"/>
        </w:rPr>
        <w:t xml:space="preserve"> </w:t>
      </w:r>
    </w:p>
    <w:p w14:paraId="4EAFCB21" w14:textId="77777777" w:rsidR="008F5489" w:rsidRPr="00E87B30" w:rsidRDefault="008F5489" w:rsidP="00E907E5">
      <w:pPr>
        <w:pStyle w:val="Copytext"/>
        <w:ind w:right="793"/>
        <w:jc w:val="both"/>
        <w:rPr>
          <w:lang w:val="es-ES"/>
        </w:rPr>
      </w:pPr>
    </w:p>
    <w:p w14:paraId="49108CA0" w14:textId="517B439C" w:rsidR="008F5489" w:rsidRPr="00E87B30" w:rsidRDefault="008F5489" w:rsidP="00E907E5">
      <w:pPr>
        <w:pStyle w:val="Copytext-Intro"/>
        <w:spacing w:before="0" w:after="0"/>
        <w:ind w:right="793"/>
        <w:jc w:val="both"/>
        <w:rPr>
          <w:lang w:val="es-ES"/>
        </w:rPr>
      </w:pPr>
      <w:r w:rsidRPr="00E87B30">
        <w:rPr>
          <w:lang w:val="es-ES"/>
        </w:rPr>
        <w:t>Cumplimiento de l</w:t>
      </w:r>
      <w:r w:rsidR="00E87B30">
        <w:rPr>
          <w:lang w:val="es-ES"/>
        </w:rPr>
        <w:t xml:space="preserve">os reglamentos </w:t>
      </w:r>
      <w:r w:rsidRPr="00E87B30">
        <w:rPr>
          <w:lang w:val="es-ES"/>
        </w:rPr>
        <w:t>sin gran</w:t>
      </w:r>
      <w:r w:rsidR="00E87B30">
        <w:rPr>
          <w:lang w:val="es-ES"/>
        </w:rPr>
        <w:t xml:space="preserve">des </w:t>
      </w:r>
      <w:r w:rsidRPr="00E87B30">
        <w:rPr>
          <w:lang w:val="es-ES"/>
        </w:rPr>
        <w:t>esfuerzo</w:t>
      </w:r>
      <w:r w:rsidR="00E87B30">
        <w:rPr>
          <w:lang w:val="es-ES"/>
        </w:rPr>
        <w:t>s</w:t>
      </w:r>
    </w:p>
    <w:p w14:paraId="7915FEB3" w14:textId="542D3071" w:rsidR="008F5489" w:rsidRPr="0084071B" w:rsidRDefault="00022DB6" w:rsidP="00E907E5">
      <w:pPr>
        <w:pStyle w:val="Copytext-Intro"/>
        <w:spacing w:before="0" w:after="0"/>
        <w:ind w:right="793"/>
        <w:jc w:val="both"/>
        <w:rPr>
          <w:b w:val="0"/>
          <w:bCs/>
          <w:color w:val="auto"/>
          <w:lang w:val="es-ES"/>
        </w:rPr>
      </w:pPr>
      <w:r w:rsidRPr="0084071B">
        <w:rPr>
          <w:b w:val="0"/>
          <w:color w:val="auto"/>
          <w:lang w:val="es-ES"/>
        </w:rPr>
        <w:br/>
        <w:t xml:space="preserve">Rittal </w:t>
      </w:r>
      <w:r w:rsidR="00E87B30" w:rsidRPr="0084071B">
        <w:rPr>
          <w:b w:val="0"/>
          <w:color w:val="auto"/>
          <w:lang w:val="es-ES"/>
        </w:rPr>
        <w:t>reaccionó ya en 2024 a los límites</w:t>
      </w:r>
      <w:r w:rsidRPr="0084071B">
        <w:rPr>
          <w:b w:val="0"/>
          <w:color w:val="auto"/>
          <w:lang w:val="es-ES"/>
        </w:rPr>
        <w:t xml:space="preserve"> cada vez más </w:t>
      </w:r>
      <w:r w:rsidR="00E87B30" w:rsidRPr="0084071B">
        <w:rPr>
          <w:b w:val="0"/>
          <w:color w:val="auto"/>
          <w:lang w:val="es-ES"/>
        </w:rPr>
        <w:t>exigentes, adaptando</w:t>
      </w:r>
      <w:r w:rsidRPr="0084071B">
        <w:rPr>
          <w:b w:val="0"/>
          <w:color w:val="auto"/>
          <w:lang w:val="es-ES"/>
        </w:rPr>
        <w:t xml:space="preserve"> tod</w:t>
      </w:r>
      <w:r w:rsidR="00E87B30" w:rsidRPr="0084071B">
        <w:rPr>
          <w:b w:val="0"/>
          <w:color w:val="auto"/>
          <w:lang w:val="es-ES"/>
        </w:rPr>
        <w:t>o</w:t>
      </w:r>
      <w:r w:rsidRPr="0084071B">
        <w:rPr>
          <w:b w:val="0"/>
          <w:color w:val="auto"/>
          <w:lang w:val="es-ES"/>
        </w:rPr>
        <w:t xml:space="preserve">s </w:t>
      </w:r>
      <w:r w:rsidR="00E87B30" w:rsidRPr="0084071B">
        <w:rPr>
          <w:b w:val="0"/>
          <w:color w:val="auto"/>
          <w:lang w:val="es-ES"/>
        </w:rPr>
        <w:t xml:space="preserve">sus refrigeradores y </w:t>
      </w:r>
      <w:proofErr w:type="spellStart"/>
      <w:r w:rsidR="00E87B30" w:rsidRPr="0084071B">
        <w:rPr>
          <w:b w:val="0"/>
          <w:color w:val="auto"/>
          <w:lang w:val="es-ES"/>
        </w:rPr>
        <w:t>chillers</w:t>
      </w:r>
      <w:proofErr w:type="spellEnd"/>
      <w:r w:rsidRPr="0084071B">
        <w:rPr>
          <w:b w:val="0"/>
          <w:color w:val="auto"/>
          <w:lang w:val="es-ES"/>
        </w:rPr>
        <w:t xml:space="preserve"> al refrigerante R-513A, una mezcla de R-134a y R-1234yf, logrando así un </w:t>
      </w:r>
      <w:r w:rsidR="00E87B30" w:rsidRPr="0084071B">
        <w:rPr>
          <w:b w:val="0"/>
          <w:color w:val="auto"/>
          <w:lang w:val="es-ES"/>
        </w:rPr>
        <w:t>PCA</w:t>
      </w:r>
      <w:r w:rsidRPr="0084071B">
        <w:rPr>
          <w:b w:val="0"/>
          <w:color w:val="auto"/>
          <w:lang w:val="es-ES"/>
        </w:rPr>
        <w:t xml:space="preserve"> de 631. De este modo,</w:t>
      </w:r>
      <w:r w:rsidR="00E87B30" w:rsidRPr="0084071B">
        <w:rPr>
          <w:b w:val="0"/>
          <w:color w:val="auto"/>
          <w:lang w:val="es-ES"/>
        </w:rPr>
        <w:t xml:space="preserve"> estos equipos</w:t>
      </w:r>
      <w:r w:rsidRPr="0084071B">
        <w:rPr>
          <w:b w:val="0"/>
          <w:color w:val="auto"/>
          <w:lang w:val="es-ES"/>
        </w:rPr>
        <w:t xml:space="preserve"> mantendrán su </w:t>
      </w:r>
      <w:r w:rsidR="00E87B30" w:rsidRPr="0084071B">
        <w:rPr>
          <w:b w:val="0"/>
          <w:color w:val="auto"/>
          <w:lang w:val="es-ES"/>
        </w:rPr>
        <w:t xml:space="preserve">homologación internacional hasta </w:t>
      </w:r>
      <w:r w:rsidRPr="0084071B">
        <w:rPr>
          <w:b w:val="0"/>
          <w:color w:val="auto"/>
          <w:lang w:val="es-ES"/>
        </w:rPr>
        <w:t xml:space="preserve">nuevo aviso. A partir del primer trimestre de 2026, la </w:t>
      </w:r>
      <w:r w:rsidR="00E87B30" w:rsidRPr="0084071B">
        <w:rPr>
          <w:b w:val="0"/>
          <w:color w:val="auto"/>
          <w:lang w:val="es-ES"/>
        </w:rPr>
        <w:t>gama de refrigeradores</w:t>
      </w:r>
      <w:r w:rsidRPr="0084071B">
        <w:rPr>
          <w:b w:val="0"/>
          <w:color w:val="auto"/>
          <w:lang w:val="es-ES"/>
        </w:rPr>
        <w:t xml:space="preserve"> Blue e+ se conv</w:t>
      </w:r>
      <w:r w:rsidR="004F5019" w:rsidRPr="0084071B">
        <w:rPr>
          <w:b w:val="0"/>
          <w:color w:val="auto"/>
          <w:lang w:val="es-ES"/>
        </w:rPr>
        <w:t>i</w:t>
      </w:r>
      <w:r w:rsidRPr="0084071B">
        <w:rPr>
          <w:b w:val="0"/>
          <w:color w:val="auto"/>
          <w:lang w:val="es-ES"/>
        </w:rPr>
        <w:t>rti</w:t>
      </w:r>
      <w:r w:rsidR="004F5019" w:rsidRPr="0084071B">
        <w:rPr>
          <w:b w:val="0"/>
          <w:color w:val="auto"/>
          <w:lang w:val="es-ES"/>
        </w:rPr>
        <w:t>ó</w:t>
      </w:r>
      <w:r w:rsidRPr="0084071B">
        <w:rPr>
          <w:b w:val="0"/>
          <w:color w:val="auto"/>
          <w:lang w:val="es-ES"/>
        </w:rPr>
        <w:t xml:space="preserve"> </w:t>
      </w:r>
      <w:r w:rsidR="00E87B30" w:rsidRPr="0084071B">
        <w:rPr>
          <w:b w:val="0"/>
          <w:color w:val="auto"/>
          <w:lang w:val="es-ES"/>
        </w:rPr>
        <w:t>al refrigerante</w:t>
      </w:r>
      <w:r w:rsidRPr="0084071B">
        <w:rPr>
          <w:b w:val="0"/>
          <w:color w:val="auto"/>
          <w:lang w:val="es-ES"/>
        </w:rPr>
        <w:t xml:space="preserve"> R-1234yf, seguida</w:t>
      </w:r>
      <w:r w:rsidR="00E87B30" w:rsidRPr="0084071B">
        <w:rPr>
          <w:b w:val="0"/>
          <w:color w:val="auto"/>
          <w:lang w:val="es-ES"/>
        </w:rPr>
        <w:t xml:space="preserve"> de la </w:t>
      </w:r>
      <w:r w:rsidRPr="0084071B">
        <w:rPr>
          <w:b w:val="0"/>
          <w:color w:val="auto"/>
          <w:lang w:val="es-ES"/>
        </w:rPr>
        <w:t>serie</w:t>
      </w:r>
      <w:r w:rsidR="00E87B30" w:rsidRPr="0084071B">
        <w:rPr>
          <w:b w:val="0"/>
          <w:color w:val="auto"/>
          <w:lang w:val="es-ES"/>
        </w:rPr>
        <w:t xml:space="preserve"> de </w:t>
      </w:r>
      <w:proofErr w:type="spellStart"/>
      <w:r w:rsidR="00E87B30" w:rsidRPr="0084071B">
        <w:rPr>
          <w:b w:val="0"/>
          <w:color w:val="auto"/>
          <w:lang w:val="es-ES"/>
        </w:rPr>
        <w:t>chillers</w:t>
      </w:r>
      <w:proofErr w:type="spellEnd"/>
      <w:r w:rsidRPr="0084071B">
        <w:rPr>
          <w:b w:val="0"/>
          <w:color w:val="auto"/>
          <w:lang w:val="es-ES"/>
        </w:rPr>
        <w:t xml:space="preserve"> Blue e+ </w:t>
      </w:r>
      <w:r w:rsidR="004F5019" w:rsidRPr="0084071B">
        <w:rPr>
          <w:b w:val="0"/>
          <w:color w:val="auto"/>
          <w:lang w:val="es-ES"/>
        </w:rPr>
        <w:t xml:space="preserve">que lo hará </w:t>
      </w:r>
      <w:r w:rsidRPr="0084071B">
        <w:rPr>
          <w:b w:val="0"/>
          <w:color w:val="auto"/>
          <w:lang w:val="es-ES"/>
        </w:rPr>
        <w:t>en el segundo trimestre. "Esto significa que las</w:t>
      </w:r>
      <w:r w:rsidR="00E87B30" w:rsidRPr="0084071B">
        <w:rPr>
          <w:b w:val="0"/>
          <w:color w:val="auto"/>
          <w:lang w:val="es-ES"/>
        </w:rPr>
        <w:t xml:space="preserve"> soluciones de climatización</w:t>
      </w:r>
      <w:r w:rsidRPr="0084071B">
        <w:rPr>
          <w:b w:val="0"/>
          <w:color w:val="auto"/>
          <w:lang w:val="es-ES"/>
        </w:rPr>
        <w:t xml:space="preserve"> de Rittal cumplirán con l</w:t>
      </w:r>
      <w:r w:rsidR="00E87B30" w:rsidRPr="0084071B">
        <w:rPr>
          <w:b w:val="0"/>
          <w:color w:val="auto"/>
          <w:lang w:val="es-ES"/>
        </w:rPr>
        <w:t>os reglamentos</w:t>
      </w:r>
      <w:r w:rsidRPr="0084071B">
        <w:rPr>
          <w:b w:val="0"/>
          <w:color w:val="auto"/>
          <w:lang w:val="es-ES"/>
        </w:rPr>
        <w:t xml:space="preserve"> internacional</w:t>
      </w:r>
      <w:r w:rsidR="00E87B30" w:rsidRPr="0084071B">
        <w:rPr>
          <w:b w:val="0"/>
          <w:color w:val="auto"/>
          <w:lang w:val="es-ES"/>
        </w:rPr>
        <w:t>es al menos</w:t>
      </w:r>
      <w:r w:rsidRPr="0084071B">
        <w:rPr>
          <w:b w:val="0"/>
          <w:color w:val="auto"/>
          <w:lang w:val="es-ES"/>
        </w:rPr>
        <w:t xml:space="preserve"> hasta 2032, y también dispondremos</w:t>
      </w:r>
      <w:r w:rsidR="00E87B30" w:rsidRPr="0084071B">
        <w:rPr>
          <w:b w:val="0"/>
          <w:color w:val="auto"/>
          <w:lang w:val="es-ES"/>
        </w:rPr>
        <w:t>,</w:t>
      </w:r>
      <w:r w:rsidRPr="0084071B">
        <w:rPr>
          <w:b w:val="0"/>
          <w:color w:val="auto"/>
          <w:lang w:val="es-ES"/>
        </w:rPr>
        <w:t xml:space="preserve"> </w:t>
      </w:r>
      <w:r w:rsidR="00E87B30" w:rsidRPr="0084071B">
        <w:rPr>
          <w:b w:val="0"/>
          <w:color w:val="auto"/>
          <w:lang w:val="es-ES"/>
        </w:rPr>
        <w:t xml:space="preserve">con la debida antelación, </w:t>
      </w:r>
      <w:r w:rsidRPr="0084071B">
        <w:rPr>
          <w:b w:val="0"/>
          <w:color w:val="auto"/>
          <w:lang w:val="es-ES"/>
        </w:rPr>
        <w:t xml:space="preserve">de soluciones adecuadas para nuestros clientes </w:t>
      </w:r>
      <w:r w:rsidR="00E87B30" w:rsidRPr="0084071B">
        <w:rPr>
          <w:b w:val="0"/>
          <w:color w:val="auto"/>
          <w:lang w:val="es-ES"/>
        </w:rPr>
        <w:t xml:space="preserve">de cara a los </w:t>
      </w:r>
      <w:r w:rsidRPr="0084071B">
        <w:rPr>
          <w:b w:val="0"/>
          <w:color w:val="auto"/>
          <w:lang w:val="es-ES"/>
        </w:rPr>
        <w:t xml:space="preserve">requisitos aplicables a partir de </w:t>
      </w:r>
      <w:r w:rsidR="00E87B30" w:rsidRPr="0084071B">
        <w:rPr>
          <w:b w:val="0"/>
          <w:color w:val="auto"/>
          <w:lang w:val="es-ES"/>
        </w:rPr>
        <w:t>esa fecha</w:t>
      </w:r>
      <w:r w:rsidRPr="0084071B">
        <w:rPr>
          <w:b w:val="0"/>
          <w:color w:val="auto"/>
          <w:lang w:val="es-ES"/>
        </w:rPr>
        <w:t xml:space="preserve">", confirma Ralf Schneider, </w:t>
      </w:r>
      <w:r w:rsidR="004F5019" w:rsidRPr="0084071B">
        <w:rPr>
          <w:b w:val="0"/>
          <w:i/>
          <w:iCs/>
          <w:color w:val="auto"/>
          <w:lang w:val="es-ES"/>
        </w:rPr>
        <w:t xml:space="preserve">Head </w:t>
      </w:r>
      <w:proofErr w:type="spellStart"/>
      <w:r w:rsidR="004F5019" w:rsidRPr="0084071B">
        <w:rPr>
          <w:b w:val="0"/>
          <w:i/>
          <w:iCs/>
          <w:color w:val="auto"/>
          <w:lang w:val="es-ES"/>
        </w:rPr>
        <w:t>of</w:t>
      </w:r>
      <w:proofErr w:type="spellEnd"/>
      <w:r w:rsidR="004F5019" w:rsidRPr="0084071B">
        <w:rPr>
          <w:b w:val="0"/>
          <w:i/>
          <w:iCs/>
          <w:color w:val="auto"/>
          <w:lang w:val="es-ES"/>
        </w:rPr>
        <w:t xml:space="preserve"> </w:t>
      </w:r>
      <w:proofErr w:type="spellStart"/>
      <w:r w:rsidR="004F5019" w:rsidRPr="0084071B">
        <w:rPr>
          <w:b w:val="0"/>
          <w:i/>
          <w:iCs/>
          <w:color w:val="auto"/>
          <w:lang w:val="es-ES"/>
        </w:rPr>
        <w:t>Solution</w:t>
      </w:r>
      <w:proofErr w:type="spellEnd"/>
      <w:r w:rsidR="004F5019" w:rsidRPr="0084071B">
        <w:rPr>
          <w:b w:val="0"/>
          <w:i/>
          <w:iCs/>
          <w:color w:val="auto"/>
          <w:lang w:val="es-ES"/>
        </w:rPr>
        <w:t xml:space="preserve"> Sales </w:t>
      </w:r>
      <w:proofErr w:type="spellStart"/>
      <w:r w:rsidR="004F5019" w:rsidRPr="0084071B">
        <w:rPr>
          <w:b w:val="0"/>
          <w:i/>
          <w:iCs/>
          <w:color w:val="auto"/>
          <w:lang w:val="es-ES"/>
        </w:rPr>
        <w:t>Climate</w:t>
      </w:r>
      <w:proofErr w:type="spellEnd"/>
      <w:r w:rsidR="004F5019" w:rsidRPr="0084071B">
        <w:rPr>
          <w:b w:val="0"/>
          <w:i/>
          <w:iCs/>
          <w:color w:val="auto"/>
          <w:lang w:val="es-ES"/>
        </w:rPr>
        <w:t xml:space="preserve"> Control</w:t>
      </w:r>
      <w:r w:rsidRPr="0084071B">
        <w:rPr>
          <w:b w:val="0"/>
          <w:color w:val="auto"/>
          <w:lang w:val="es-ES"/>
        </w:rPr>
        <w:t xml:space="preserve"> en Rittal.</w:t>
      </w:r>
    </w:p>
    <w:p w14:paraId="5BD9169B" w14:textId="77777777" w:rsidR="008F5489" w:rsidRPr="00E87B30" w:rsidRDefault="008F5489" w:rsidP="00E907E5">
      <w:pPr>
        <w:pStyle w:val="Copytext-Intro"/>
        <w:spacing w:before="0" w:after="0"/>
        <w:ind w:right="793"/>
        <w:jc w:val="both"/>
        <w:rPr>
          <w:b w:val="0"/>
          <w:bCs/>
          <w:lang w:val="es-ES"/>
        </w:rPr>
      </w:pPr>
    </w:p>
    <w:p w14:paraId="589F9007" w14:textId="77777777" w:rsidR="00CF606D" w:rsidRPr="00E87B30" w:rsidRDefault="00CF606D" w:rsidP="00E907E5">
      <w:pPr>
        <w:pStyle w:val="Copytext-Intro"/>
        <w:spacing w:before="0" w:after="0"/>
        <w:ind w:right="793"/>
        <w:jc w:val="both"/>
        <w:rPr>
          <w:lang w:val="es-ES"/>
        </w:rPr>
      </w:pPr>
    </w:p>
    <w:p w14:paraId="324522A2" w14:textId="4850DD9B" w:rsidR="008F5489" w:rsidRPr="00E87B30" w:rsidRDefault="008F5489" w:rsidP="00E907E5">
      <w:pPr>
        <w:pStyle w:val="Copytext-Intro"/>
        <w:spacing w:before="0" w:after="0"/>
        <w:ind w:right="793"/>
        <w:jc w:val="both"/>
        <w:rPr>
          <w:lang w:val="es-ES"/>
        </w:rPr>
      </w:pPr>
      <w:r w:rsidRPr="00E87B30">
        <w:rPr>
          <w:lang w:val="es-ES"/>
        </w:rPr>
        <w:t xml:space="preserve">Nuevos refrigerantes con mayor riesgo de </w:t>
      </w:r>
      <w:r w:rsidR="00E87B30">
        <w:rPr>
          <w:lang w:val="es-ES"/>
        </w:rPr>
        <w:t>inflamabilidad</w:t>
      </w:r>
    </w:p>
    <w:p w14:paraId="214E7107" w14:textId="77777777" w:rsidR="008F5489" w:rsidRPr="00E87B30" w:rsidRDefault="008F5489" w:rsidP="00E907E5">
      <w:pPr>
        <w:pStyle w:val="Copytext"/>
        <w:ind w:right="793"/>
        <w:jc w:val="both"/>
        <w:rPr>
          <w:lang w:val="es-ES"/>
        </w:rPr>
      </w:pPr>
    </w:p>
    <w:p w14:paraId="5952DAA8" w14:textId="7979D5A3" w:rsidR="008F5489" w:rsidRPr="00E87B30" w:rsidRDefault="005C2081" w:rsidP="00E907E5">
      <w:pPr>
        <w:pStyle w:val="Copytext"/>
        <w:ind w:right="793"/>
        <w:jc w:val="both"/>
        <w:rPr>
          <w:lang w:val="es-ES"/>
        </w:rPr>
      </w:pPr>
      <w:r w:rsidRPr="00E87B30">
        <w:rPr>
          <w:lang w:val="es-ES"/>
        </w:rPr>
        <w:t xml:space="preserve">Sin embargo, al instalar sistemas de refrigeración, </w:t>
      </w:r>
      <w:r w:rsidR="00E87B30">
        <w:rPr>
          <w:lang w:val="es-ES"/>
        </w:rPr>
        <w:t>debe tenerse en</w:t>
      </w:r>
      <w:r w:rsidRPr="00E87B30">
        <w:rPr>
          <w:lang w:val="es-ES"/>
        </w:rPr>
        <w:t xml:space="preserve"> cuenta que la inflamabilidad de los refrigerantes aumenta a medida que disminuye </w:t>
      </w:r>
      <w:r w:rsidR="00E87B30">
        <w:rPr>
          <w:lang w:val="es-ES"/>
        </w:rPr>
        <w:t>su PCA</w:t>
      </w:r>
      <w:r w:rsidRPr="00E87B30">
        <w:rPr>
          <w:lang w:val="es-ES"/>
        </w:rPr>
        <w:t>. "Aunque el R-1234yf es inflamable, solo se enciende a temperaturas superiores a 400 °</w:t>
      </w:r>
      <w:proofErr w:type="gramStart"/>
      <w:r w:rsidRPr="00E87B30">
        <w:rPr>
          <w:lang w:val="es-ES"/>
        </w:rPr>
        <w:t xml:space="preserve">C </w:t>
      </w:r>
      <w:r w:rsidR="00E87B30">
        <w:rPr>
          <w:lang w:val="es-ES"/>
        </w:rPr>
        <w:t>,</w:t>
      </w:r>
      <w:proofErr w:type="gramEnd"/>
      <w:r w:rsidR="00E87B30">
        <w:rPr>
          <w:lang w:val="es-ES"/>
        </w:rPr>
        <w:t xml:space="preserve"> por lo que se </w:t>
      </w:r>
      <w:r w:rsidRPr="00E87B30">
        <w:rPr>
          <w:lang w:val="es-ES"/>
        </w:rPr>
        <w:t xml:space="preserve">clasifica como de baja inflamabilidad (clase de seguridad A2L)", explica Ralf Schneider. El análisis de riesgos realizado por Rittal sobre el uso de este refrigerante en </w:t>
      </w:r>
      <w:r w:rsidR="00E87B30">
        <w:rPr>
          <w:lang w:val="es-ES"/>
        </w:rPr>
        <w:t>los refrigeradores</w:t>
      </w:r>
      <w:r w:rsidRPr="00E87B30">
        <w:rPr>
          <w:lang w:val="es-ES"/>
        </w:rPr>
        <w:t xml:space="preserve"> </w:t>
      </w:r>
      <w:r w:rsidR="00E87B30">
        <w:rPr>
          <w:lang w:val="es-ES"/>
        </w:rPr>
        <w:t xml:space="preserve">de armarios ha dado como resultado una clasificación </w:t>
      </w:r>
      <w:r w:rsidRPr="00E87B30">
        <w:rPr>
          <w:lang w:val="es-ES"/>
        </w:rPr>
        <w:t>de "bajo riesgo".</w:t>
      </w:r>
    </w:p>
    <w:p w14:paraId="5A9B32F3" w14:textId="77777777" w:rsidR="008F5489" w:rsidRPr="00E87B30" w:rsidRDefault="008F5489" w:rsidP="00E907E5">
      <w:pPr>
        <w:pStyle w:val="Copytext"/>
        <w:ind w:right="793"/>
        <w:jc w:val="both"/>
        <w:rPr>
          <w:lang w:val="es-ES"/>
        </w:rPr>
      </w:pPr>
    </w:p>
    <w:p w14:paraId="2EE3CFF0" w14:textId="71B56949" w:rsidR="008F5489" w:rsidRPr="00E87B30" w:rsidRDefault="00D36A86" w:rsidP="00E907E5">
      <w:pPr>
        <w:pStyle w:val="Copytext"/>
        <w:ind w:right="793"/>
        <w:jc w:val="both"/>
        <w:rPr>
          <w:lang w:val="es-ES"/>
        </w:rPr>
      </w:pPr>
      <w:r w:rsidRPr="00E87B30">
        <w:rPr>
          <w:lang w:val="es-ES"/>
        </w:rPr>
        <w:t xml:space="preserve">En la industria </w:t>
      </w:r>
      <w:r w:rsidR="00E87B30">
        <w:rPr>
          <w:lang w:val="es-ES"/>
        </w:rPr>
        <w:t>de la automoción s</w:t>
      </w:r>
      <w:r w:rsidRPr="00E87B30">
        <w:rPr>
          <w:lang w:val="es-ES"/>
        </w:rPr>
        <w:t xml:space="preserve">e </w:t>
      </w:r>
      <w:r w:rsidR="00E87B30">
        <w:rPr>
          <w:lang w:val="es-ES"/>
        </w:rPr>
        <w:t xml:space="preserve">han llevado a cabo diversos análisis y ensayos sobre </w:t>
      </w:r>
      <w:r w:rsidRPr="00E87B30">
        <w:rPr>
          <w:lang w:val="es-ES"/>
        </w:rPr>
        <w:t>el uso del R-1234yf. Los resultados muestran un riesgo</w:t>
      </w:r>
      <w:r w:rsidR="00E87B30">
        <w:rPr>
          <w:lang w:val="es-ES"/>
        </w:rPr>
        <w:t xml:space="preserve"> ligeramente superior en comparación con e</w:t>
      </w:r>
      <w:r w:rsidRPr="00E87B30">
        <w:rPr>
          <w:lang w:val="es-ES"/>
        </w:rPr>
        <w:t>l us</w:t>
      </w:r>
      <w:r w:rsidR="00E87B30">
        <w:rPr>
          <w:lang w:val="es-ES"/>
        </w:rPr>
        <w:t xml:space="preserve">o </w:t>
      </w:r>
      <w:r w:rsidR="00E87B30" w:rsidRPr="0084071B">
        <w:rPr>
          <w:lang w:val="es-ES"/>
        </w:rPr>
        <w:t>de</w:t>
      </w:r>
      <w:r w:rsidR="004F5019" w:rsidRPr="0084071B">
        <w:rPr>
          <w:lang w:val="es-ES"/>
        </w:rPr>
        <w:t>l</w:t>
      </w:r>
      <w:r w:rsidRPr="00E87B30">
        <w:rPr>
          <w:lang w:val="es-ES"/>
        </w:rPr>
        <w:t xml:space="preserve"> R-134a, aunque</w:t>
      </w:r>
      <w:r w:rsidR="00E87B30">
        <w:rPr>
          <w:lang w:val="es-ES"/>
        </w:rPr>
        <w:t xml:space="preserve"> sin </w:t>
      </w:r>
      <w:r w:rsidRPr="00E87B30">
        <w:rPr>
          <w:lang w:val="es-ES"/>
        </w:rPr>
        <w:t xml:space="preserve">un aumento significativo </w:t>
      </w:r>
      <w:r w:rsidR="00E87B30">
        <w:rPr>
          <w:lang w:val="es-ES"/>
        </w:rPr>
        <w:t>del</w:t>
      </w:r>
      <w:r w:rsidRPr="00E87B30">
        <w:rPr>
          <w:lang w:val="es-ES"/>
        </w:rPr>
        <w:t xml:space="preserve"> riesgo de accidentes en</w:t>
      </w:r>
      <w:r w:rsidR="00E87B30">
        <w:rPr>
          <w:lang w:val="es-ES"/>
        </w:rPr>
        <w:t xml:space="preserve"> términos</w:t>
      </w:r>
      <w:r w:rsidRPr="00E87B30">
        <w:rPr>
          <w:lang w:val="es-ES"/>
        </w:rPr>
        <w:t xml:space="preserve"> general</w:t>
      </w:r>
      <w:r w:rsidR="00E87B30">
        <w:rPr>
          <w:lang w:val="es-ES"/>
        </w:rPr>
        <w:t>es</w:t>
      </w:r>
      <w:r w:rsidRPr="00E87B30">
        <w:rPr>
          <w:lang w:val="es-ES"/>
        </w:rPr>
        <w:t xml:space="preserve">. En Japón, el R-1234yf se </w:t>
      </w:r>
      <w:r w:rsidR="00E87B30">
        <w:rPr>
          <w:lang w:val="es-ES"/>
        </w:rPr>
        <w:t>utiliza desde hace años en refrigeradores de armarios y otros sistemas de refrigeración, ya que,</w:t>
      </w:r>
      <w:r w:rsidRPr="00E87B30">
        <w:rPr>
          <w:lang w:val="es-ES"/>
        </w:rPr>
        <w:t xml:space="preserve"> a diferencia de los</w:t>
      </w:r>
      <w:r w:rsidR="00E87B30">
        <w:rPr>
          <w:lang w:val="es-ES"/>
        </w:rPr>
        <w:t xml:space="preserve"> refrigerantes con F-gas, </w:t>
      </w:r>
      <w:r w:rsidRPr="00E87B30">
        <w:rPr>
          <w:lang w:val="es-ES"/>
        </w:rPr>
        <w:t>no</w:t>
      </w:r>
      <w:r w:rsidR="00E87B30">
        <w:rPr>
          <w:lang w:val="es-ES"/>
        </w:rPr>
        <w:t xml:space="preserve"> requiere un </w:t>
      </w:r>
      <w:r w:rsidRPr="00E87B30">
        <w:rPr>
          <w:lang w:val="es-ES"/>
        </w:rPr>
        <w:t xml:space="preserve">mantenimiento </w:t>
      </w:r>
      <w:r w:rsidR="00E87B30">
        <w:rPr>
          <w:lang w:val="es-ES"/>
        </w:rPr>
        <w:t>periódico</w:t>
      </w:r>
      <w:r w:rsidRPr="00E87B30">
        <w:rPr>
          <w:lang w:val="es-ES"/>
        </w:rPr>
        <w:t>. Desde 2018, Rittal suministra</w:t>
      </w:r>
      <w:r w:rsidR="00E87B30">
        <w:rPr>
          <w:lang w:val="es-ES"/>
        </w:rPr>
        <w:t xml:space="preserve"> equipos</w:t>
      </w:r>
      <w:r w:rsidRPr="00E87B30">
        <w:rPr>
          <w:lang w:val="es-ES"/>
        </w:rPr>
        <w:t xml:space="preserve"> cargad</w:t>
      </w:r>
      <w:r w:rsidR="00E87B30">
        <w:rPr>
          <w:lang w:val="es-ES"/>
        </w:rPr>
        <w:t>o</w:t>
      </w:r>
      <w:r w:rsidRPr="00E87B30">
        <w:rPr>
          <w:lang w:val="es-ES"/>
        </w:rPr>
        <w:t>s con R-1234yf a este mercado</w:t>
      </w:r>
      <w:r w:rsidR="00E87B30">
        <w:rPr>
          <w:lang w:val="es-ES"/>
        </w:rPr>
        <w:t>, lo que le ha permitido adquirir</w:t>
      </w:r>
      <w:r w:rsidRPr="00E87B30">
        <w:rPr>
          <w:lang w:val="es-ES"/>
        </w:rPr>
        <w:t xml:space="preserve"> una amplia experiencia con</w:t>
      </w:r>
      <w:r w:rsidR="00E87B30">
        <w:rPr>
          <w:lang w:val="es-ES"/>
        </w:rPr>
        <w:t xml:space="preserve"> este refrigerante</w:t>
      </w:r>
      <w:r w:rsidRPr="00E87B30">
        <w:rPr>
          <w:lang w:val="es-ES"/>
        </w:rPr>
        <w:t xml:space="preserve">. Esto significa que, </w:t>
      </w:r>
      <w:r w:rsidR="00E87B30">
        <w:rPr>
          <w:lang w:val="es-ES"/>
        </w:rPr>
        <w:t xml:space="preserve">a medio plazo, </w:t>
      </w:r>
      <w:r w:rsidRPr="00E87B30">
        <w:rPr>
          <w:lang w:val="es-ES"/>
        </w:rPr>
        <w:t xml:space="preserve">los fabricantes de </w:t>
      </w:r>
      <w:r w:rsidR="00E87B30">
        <w:rPr>
          <w:lang w:val="es-ES"/>
        </w:rPr>
        <w:t>maquinaria</w:t>
      </w:r>
      <w:r w:rsidRPr="00E87B30">
        <w:rPr>
          <w:lang w:val="es-ES"/>
        </w:rPr>
        <w:t xml:space="preserve"> podrán seguir utilizando </w:t>
      </w:r>
      <w:r w:rsidR="00E87B30">
        <w:rPr>
          <w:lang w:val="es-ES"/>
        </w:rPr>
        <w:t>los refrigeradores</w:t>
      </w:r>
      <w:r w:rsidRPr="00E87B30">
        <w:rPr>
          <w:lang w:val="es-ES"/>
        </w:rPr>
        <w:t xml:space="preserve"> y</w:t>
      </w:r>
      <w:r w:rsidR="00E87B30">
        <w:rPr>
          <w:lang w:val="es-ES"/>
        </w:rPr>
        <w:t xml:space="preserve"> </w:t>
      </w:r>
      <w:proofErr w:type="spellStart"/>
      <w:r w:rsidR="00E87B30">
        <w:rPr>
          <w:lang w:val="es-ES"/>
        </w:rPr>
        <w:t>chillers</w:t>
      </w:r>
      <w:proofErr w:type="spellEnd"/>
      <w:r w:rsidRPr="00E87B30">
        <w:rPr>
          <w:lang w:val="es-ES"/>
        </w:rPr>
        <w:t xml:space="preserve"> de Rittal en </w:t>
      </w:r>
      <w:r w:rsidR="00E87B30">
        <w:rPr>
          <w:lang w:val="es-ES"/>
        </w:rPr>
        <w:t>armarios</w:t>
      </w:r>
      <w:r w:rsidRPr="00E87B30">
        <w:rPr>
          <w:lang w:val="es-ES"/>
        </w:rPr>
        <w:t xml:space="preserve"> y otras aplicaciones sin </w:t>
      </w:r>
      <w:r w:rsidR="00E87B30">
        <w:rPr>
          <w:lang w:val="es-ES"/>
        </w:rPr>
        <w:t xml:space="preserve">necesidad de realizar </w:t>
      </w:r>
      <w:r w:rsidRPr="00E87B30">
        <w:rPr>
          <w:lang w:val="es-ES"/>
        </w:rPr>
        <w:t xml:space="preserve">modificaciones importantes, </w:t>
      </w:r>
      <w:r w:rsidR="00E87B30">
        <w:rPr>
          <w:lang w:val="es-ES"/>
        </w:rPr>
        <w:t>lo que les permitirá</w:t>
      </w:r>
      <w:r w:rsidRPr="00E87B30">
        <w:rPr>
          <w:lang w:val="es-ES"/>
        </w:rPr>
        <w:t xml:space="preserve"> comercializar sus sistemas a nivel </w:t>
      </w:r>
      <w:r w:rsidR="00E87B30">
        <w:rPr>
          <w:lang w:val="es-ES"/>
        </w:rPr>
        <w:t>global</w:t>
      </w:r>
      <w:r w:rsidRPr="00E87B30">
        <w:rPr>
          <w:lang w:val="es-ES"/>
        </w:rPr>
        <w:t xml:space="preserve"> cumpliendo con </w:t>
      </w:r>
      <w:r w:rsidR="00E87B30">
        <w:rPr>
          <w:lang w:val="es-ES"/>
        </w:rPr>
        <w:t>los reglamentos vigentes</w:t>
      </w:r>
      <w:r w:rsidRPr="00E87B30">
        <w:rPr>
          <w:lang w:val="es-ES"/>
        </w:rPr>
        <w:t xml:space="preserve">. </w:t>
      </w:r>
    </w:p>
    <w:p w14:paraId="14383A9E" w14:textId="77777777" w:rsidR="00810475" w:rsidRPr="00E87B30" w:rsidRDefault="00810475" w:rsidP="00E907E5">
      <w:pPr>
        <w:pStyle w:val="Copytext"/>
        <w:ind w:right="793"/>
        <w:jc w:val="both"/>
        <w:rPr>
          <w:lang w:val="es-ES"/>
        </w:rPr>
      </w:pPr>
    </w:p>
    <w:p w14:paraId="5DA9AB92" w14:textId="3D4E06E3" w:rsidR="00904BFC" w:rsidRPr="00E87B30" w:rsidRDefault="00B31458" w:rsidP="00E907E5">
      <w:pPr>
        <w:pStyle w:val="Copytext"/>
        <w:ind w:right="793"/>
        <w:jc w:val="both"/>
        <w:rPr>
          <w:b/>
          <w:bCs w:val="0"/>
          <w:lang w:val="es-ES"/>
        </w:rPr>
      </w:pPr>
      <w:r w:rsidRPr="00E87B30">
        <w:rPr>
          <w:b/>
          <w:lang w:val="es-ES"/>
        </w:rPr>
        <w:t xml:space="preserve">Una gama de productos </w:t>
      </w:r>
      <w:r w:rsidR="00E87B30">
        <w:rPr>
          <w:b/>
          <w:lang w:val="es-ES"/>
        </w:rPr>
        <w:t>preparada para el futuro</w:t>
      </w:r>
    </w:p>
    <w:p w14:paraId="2B9288E5" w14:textId="77777777" w:rsidR="00001650" w:rsidRPr="00E87B30" w:rsidRDefault="00001650" w:rsidP="00E907E5">
      <w:pPr>
        <w:pStyle w:val="Copytext"/>
        <w:ind w:right="793"/>
        <w:jc w:val="both"/>
        <w:rPr>
          <w:lang w:val="es-ES"/>
        </w:rPr>
      </w:pPr>
    </w:p>
    <w:p w14:paraId="64AEDABE" w14:textId="53E26F6C" w:rsidR="002B4608" w:rsidRPr="00E87B30" w:rsidRDefault="002B4608" w:rsidP="00E907E5">
      <w:pPr>
        <w:pStyle w:val="Copytext"/>
        <w:ind w:right="793"/>
        <w:jc w:val="both"/>
        <w:rPr>
          <w:lang w:val="es-ES"/>
        </w:rPr>
      </w:pPr>
      <w:r w:rsidRPr="00E87B30">
        <w:rPr>
          <w:lang w:val="es-ES"/>
        </w:rPr>
        <w:t xml:space="preserve">Con sus </w:t>
      </w:r>
      <w:r w:rsidR="00E87B30">
        <w:rPr>
          <w:lang w:val="es-ES"/>
        </w:rPr>
        <w:t>refrigeradores</w:t>
      </w:r>
      <w:r w:rsidRPr="00E87B30">
        <w:rPr>
          <w:lang w:val="es-ES"/>
        </w:rPr>
        <w:t xml:space="preserve"> Blue e+ que utilizan el nuevo refrigerante R-1234yf, Rittal ya garantiza el </w:t>
      </w:r>
      <w:r w:rsidR="00E87B30">
        <w:rPr>
          <w:lang w:val="es-ES"/>
        </w:rPr>
        <w:t xml:space="preserve">pleno </w:t>
      </w:r>
      <w:r w:rsidRPr="00E87B30">
        <w:rPr>
          <w:lang w:val="es-ES"/>
        </w:rPr>
        <w:t>cumplimiento de l</w:t>
      </w:r>
      <w:r w:rsidR="00E87B30">
        <w:rPr>
          <w:lang w:val="es-ES"/>
        </w:rPr>
        <w:t xml:space="preserve">os requisitos del reglamento F-gas, </w:t>
      </w:r>
      <w:r w:rsidR="00E05F99">
        <w:rPr>
          <w:lang w:val="es-ES"/>
        </w:rPr>
        <w:t>reduciendo además el impacto en costes</w:t>
      </w:r>
      <w:r w:rsidRPr="00E87B30">
        <w:rPr>
          <w:lang w:val="es-ES"/>
        </w:rPr>
        <w:t xml:space="preserve">. Esto se debe a que los refrigerantes con un </w:t>
      </w:r>
      <w:r w:rsidR="00E87B30">
        <w:rPr>
          <w:lang w:val="es-ES"/>
        </w:rPr>
        <w:t>PCA</w:t>
      </w:r>
      <w:r w:rsidRPr="00E87B30">
        <w:rPr>
          <w:lang w:val="es-ES"/>
        </w:rPr>
        <w:t xml:space="preserve"> más </w:t>
      </w:r>
      <w:r w:rsidR="00E87B30">
        <w:rPr>
          <w:lang w:val="es-ES"/>
        </w:rPr>
        <w:t>elevado</w:t>
      </w:r>
      <w:r w:rsidRPr="00E87B30">
        <w:rPr>
          <w:lang w:val="es-ES"/>
        </w:rPr>
        <w:t xml:space="preserve">, como el R-513A, son cada vez más </w:t>
      </w:r>
      <w:r w:rsidR="00E87B30">
        <w:rPr>
          <w:lang w:val="es-ES"/>
        </w:rPr>
        <w:t>escasos</w:t>
      </w:r>
      <w:r w:rsidRPr="00E87B30">
        <w:rPr>
          <w:lang w:val="es-ES"/>
        </w:rPr>
        <w:t xml:space="preserve"> y caros debido a las cuotas más estrictas. </w:t>
      </w:r>
      <w:r w:rsidR="00E87B30">
        <w:rPr>
          <w:lang w:val="es-ES"/>
        </w:rPr>
        <w:t xml:space="preserve">De este modo, la adopción temprana del </w:t>
      </w:r>
      <w:r w:rsidRPr="00E87B30">
        <w:rPr>
          <w:lang w:val="es-ES"/>
        </w:rPr>
        <w:t>R-1234yf</w:t>
      </w:r>
      <w:r w:rsidR="00E87B30">
        <w:rPr>
          <w:lang w:val="es-ES"/>
        </w:rPr>
        <w:t xml:space="preserve"> también permite asegurar el suministro a largo plazo, especialmente ante las importantes reducciones previstas a partir de 2027. </w:t>
      </w:r>
    </w:p>
    <w:p w14:paraId="60AE32C3" w14:textId="77777777" w:rsidR="00001650" w:rsidRPr="00E87B30" w:rsidRDefault="00001650" w:rsidP="00E907E5">
      <w:pPr>
        <w:pStyle w:val="Copytext"/>
        <w:ind w:right="793"/>
        <w:jc w:val="both"/>
        <w:rPr>
          <w:lang w:val="es-ES"/>
        </w:rPr>
      </w:pPr>
    </w:p>
    <w:p w14:paraId="1744E003" w14:textId="5FE9DB5E" w:rsidR="00381D89" w:rsidRPr="00E87B30" w:rsidRDefault="002B4608" w:rsidP="00E907E5">
      <w:pPr>
        <w:pStyle w:val="Copytext"/>
        <w:ind w:right="793"/>
        <w:jc w:val="both"/>
        <w:rPr>
          <w:lang w:val="es-ES"/>
        </w:rPr>
      </w:pPr>
      <w:r w:rsidRPr="00E87B30">
        <w:rPr>
          <w:lang w:val="es-ES"/>
        </w:rPr>
        <w:t xml:space="preserve">Gracias a las certificaciones UL e IEC, </w:t>
      </w:r>
      <w:r w:rsidR="00E87B30">
        <w:rPr>
          <w:lang w:val="es-ES"/>
        </w:rPr>
        <w:t xml:space="preserve">a </w:t>
      </w:r>
      <w:r w:rsidR="00E87B30" w:rsidRPr="0084071B">
        <w:rPr>
          <w:color w:val="auto"/>
          <w:lang w:val="es-ES"/>
        </w:rPr>
        <w:t>las reducidas cargas de refrigerante A</w:t>
      </w:r>
      <w:r w:rsidRPr="0084071B">
        <w:rPr>
          <w:color w:val="auto"/>
          <w:lang w:val="es-ES"/>
        </w:rPr>
        <w:t xml:space="preserve">2L </w:t>
      </w:r>
      <w:r w:rsidRPr="00E87B30">
        <w:rPr>
          <w:lang w:val="es-ES"/>
        </w:rPr>
        <w:t xml:space="preserve">y </w:t>
      </w:r>
      <w:r w:rsidR="00E87B30">
        <w:rPr>
          <w:lang w:val="es-ES"/>
        </w:rPr>
        <w:t xml:space="preserve">a </w:t>
      </w:r>
      <w:r w:rsidRPr="00E87B30">
        <w:rPr>
          <w:lang w:val="es-ES"/>
        </w:rPr>
        <w:t>un diseño</w:t>
      </w:r>
      <w:r w:rsidR="00E87B30">
        <w:rPr>
          <w:lang w:val="es-ES"/>
        </w:rPr>
        <w:t xml:space="preserve"> de equipo</w:t>
      </w:r>
      <w:r w:rsidRPr="00E87B30">
        <w:rPr>
          <w:lang w:val="es-ES"/>
        </w:rPr>
        <w:t xml:space="preserve"> optimizado </w:t>
      </w:r>
      <w:r w:rsidR="00E87B30">
        <w:rPr>
          <w:lang w:val="es-ES"/>
        </w:rPr>
        <w:t>en materia de</w:t>
      </w:r>
      <w:r w:rsidRPr="00E87B30">
        <w:rPr>
          <w:lang w:val="es-ES"/>
        </w:rPr>
        <w:t xml:space="preserve"> seguridad, l</w:t>
      </w:r>
      <w:r w:rsidR="00E87B30">
        <w:rPr>
          <w:lang w:val="es-ES"/>
        </w:rPr>
        <w:t xml:space="preserve">os refrigeradores </w:t>
      </w:r>
      <w:r w:rsidRPr="00E87B30">
        <w:rPr>
          <w:lang w:val="es-ES"/>
        </w:rPr>
        <w:t>pueden utilizarse en todo el mundo sin</w:t>
      </w:r>
      <w:r w:rsidR="00E87B30">
        <w:rPr>
          <w:lang w:val="es-ES"/>
        </w:rPr>
        <w:t xml:space="preserve"> necesidad de</w:t>
      </w:r>
      <w:r w:rsidRPr="00E87B30">
        <w:rPr>
          <w:lang w:val="es-ES"/>
        </w:rPr>
        <w:t xml:space="preserve"> medidas de seguridad</w:t>
      </w:r>
      <w:r w:rsidR="00E87B30">
        <w:rPr>
          <w:lang w:val="es-ES"/>
        </w:rPr>
        <w:t xml:space="preserve"> adicionales</w:t>
      </w:r>
      <w:r w:rsidRPr="00E87B30">
        <w:rPr>
          <w:lang w:val="es-ES"/>
        </w:rPr>
        <w:t xml:space="preserve">. Los certificados correspondientes pueden descargarse </w:t>
      </w:r>
      <w:r w:rsidR="00E87B30">
        <w:rPr>
          <w:lang w:val="es-ES"/>
        </w:rPr>
        <w:t>en</w:t>
      </w:r>
      <w:r w:rsidRPr="00E87B30">
        <w:rPr>
          <w:lang w:val="es-ES"/>
        </w:rPr>
        <w:t xml:space="preserve"> la página web de Rittal (</w:t>
      </w:r>
      <w:r w:rsidR="00364913">
        <w:fldChar w:fldCharType="begin"/>
      </w:r>
      <w:r w:rsidR="00364913" w:rsidRPr="00281D67">
        <w:rPr>
          <w:lang w:val="es-ES"/>
        </w:rPr>
        <w:instrText>HYPERLINK "https://www.rittal.com/es-es/products/PG20231215KLI101/PG20231215KLI103"</w:instrText>
      </w:r>
      <w:r w:rsidR="00364913">
        <w:fldChar w:fldCharType="separate"/>
      </w:r>
      <w:r w:rsidR="00364913">
        <w:rPr>
          <w:rStyle w:val="Hipervnculo"/>
          <w:lang w:val="es-ES"/>
        </w:rPr>
        <w:t>https://www.rittal.com/es-es/products/PG20231215KLI101/PG20231215KLI103</w:t>
      </w:r>
      <w:r w:rsidR="00364913">
        <w:fldChar w:fldCharType="end"/>
      </w:r>
      <w:r w:rsidRPr="00E87B30">
        <w:rPr>
          <w:lang w:val="es-ES"/>
        </w:rPr>
        <w:t xml:space="preserve">). </w:t>
      </w:r>
    </w:p>
    <w:p w14:paraId="2209AE74" w14:textId="77777777" w:rsidR="00381D89" w:rsidRPr="00E87B30" w:rsidRDefault="00381D89" w:rsidP="00E907E5">
      <w:pPr>
        <w:pStyle w:val="Copytext"/>
        <w:ind w:right="793"/>
        <w:jc w:val="both"/>
        <w:rPr>
          <w:lang w:val="es-ES"/>
        </w:rPr>
      </w:pPr>
    </w:p>
    <w:p w14:paraId="0E9B76D3" w14:textId="794F1DBB" w:rsidR="002B4608" w:rsidRPr="00E87B30" w:rsidRDefault="002B4608" w:rsidP="00E907E5">
      <w:pPr>
        <w:pStyle w:val="Copytext"/>
        <w:ind w:right="793"/>
        <w:jc w:val="both"/>
        <w:rPr>
          <w:lang w:val="es-ES"/>
        </w:rPr>
      </w:pPr>
      <w:r w:rsidRPr="00E87B30">
        <w:rPr>
          <w:lang w:val="es-ES"/>
        </w:rPr>
        <w:t xml:space="preserve">Rittal ofrece a sus clientes una gama completa de productos </w:t>
      </w:r>
      <w:r w:rsidR="00E907E5">
        <w:rPr>
          <w:lang w:val="es-ES"/>
        </w:rPr>
        <w:t>preparada para el futuro que c</w:t>
      </w:r>
      <w:r w:rsidRPr="00E87B30">
        <w:rPr>
          <w:lang w:val="es-ES"/>
        </w:rPr>
        <w:t>ubre</w:t>
      </w:r>
      <w:r w:rsidR="00E907E5">
        <w:rPr>
          <w:lang w:val="es-ES"/>
        </w:rPr>
        <w:t xml:space="preserve"> todas las</w:t>
      </w:r>
      <w:r w:rsidRPr="00E87B30">
        <w:rPr>
          <w:lang w:val="es-ES"/>
        </w:rPr>
        <w:t xml:space="preserve"> aplicaci</w:t>
      </w:r>
      <w:r w:rsidR="00E907E5">
        <w:rPr>
          <w:lang w:val="es-ES"/>
        </w:rPr>
        <w:t>ones</w:t>
      </w:r>
      <w:r w:rsidRPr="00E87B30">
        <w:rPr>
          <w:lang w:val="es-ES"/>
        </w:rPr>
        <w:t>. Las tecnologías de</w:t>
      </w:r>
      <w:r w:rsidR="00E907E5">
        <w:rPr>
          <w:lang w:val="es-ES"/>
        </w:rPr>
        <w:t xml:space="preserve"> los</w:t>
      </w:r>
      <w:r w:rsidRPr="00E87B30">
        <w:rPr>
          <w:lang w:val="es-ES"/>
        </w:rPr>
        <w:t xml:space="preserve"> </w:t>
      </w:r>
      <w:r w:rsidR="00E907E5">
        <w:rPr>
          <w:lang w:val="es-ES"/>
        </w:rPr>
        <w:t>refrigeradores</w:t>
      </w:r>
      <w:r w:rsidRPr="00E87B30">
        <w:rPr>
          <w:lang w:val="es-ES"/>
        </w:rPr>
        <w:t xml:space="preserve"> y </w:t>
      </w:r>
      <w:proofErr w:type="spellStart"/>
      <w:r w:rsidR="00E907E5">
        <w:rPr>
          <w:lang w:val="es-ES"/>
        </w:rPr>
        <w:t>chillers</w:t>
      </w:r>
      <w:proofErr w:type="spellEnd"/>
      <w:r w:rsidRPr="00E87B30">
        <w:rPr>
          <w:lang w:val="es-ES"/>
        </w:rPr>
        <w:t xml:space="preserve"> </w:t>
      </w:r>
      <w:r w:rsidR="00E907E5">
        <w:rPr>
          <w:lang w:val="es-ES"/>
        </w:rPr>
        <w:t>proporcionan</w:t>
      </w:r>
      <w:r w:rsidRPr="00E87B30">
        <w:rPr>
          <w:lang w:val="es-ES"/>
        </w:rPr>
        <w:t xml:space="preserve"> una solución sostenible, </w:t>
      </w:r>
      <w:r w:rsidR="00E907E5">
        <w:rPr>
          <w:lang w:val="es-ES"/>
        </w:rPr>
        <w:t xml:space="preserve">energéticamente </w:t>
      </w:r>
      <w:r w:rsidRPr="00E87B30">
        <w:rPr>
          <w:lang w:val="es-ES"/>
        </w:rPr>
        <w:t>eficiente y viable a largo plazo, mucho más que una simple tecnología de transición. L</w:t>
      </w:r>
      <w:r w:rsidR="00E907E5">
        <w:rPr>
          <w:lang w:val="es-ES"/>
        </w:rPr>
        <w:t xml:space="preserve">os refrigeradores </w:t>
      </w:r>
      <w:r w:rsidRPr="00E87B30">
        <w:rPr>
          <w:lang w:val="es-ES"/>
        </w:rPr>
        <w:t xml:space="preserve">siguen </w:t>
      </w:r>
      <w:r w:rsidR="00E907E5">
        <w:rPr>
          <w:lang w:val="es-ES"/>
        </w:rPr>
        <w:t xml:space="preserve">estando </w:t>
      </w:r>
      <w:r w:rsidRPr="00E87B30">
        <w:rPr>
          <w:lang w:val="es-ES"/>
        </w:rPr>
        <w:t>disponibles con</w:t>
      </w:r>
      <w:r w:rsidR="00E907E5">
        <w:rPr>
          <w:lang w:val="es-ES"/>
        </w:rPr>
        <w:t xml:space="preserve"> el refrigerante</w:t>
      </w:r>
      <w:r w:rsidRPr="00E87B30">
        <w:rPr>
          <w:lang w:val="es-ES"/>
        </w:rPr>
        <w:t xml:space="preserve"> R-513A (</w:t>
      </w:r>
      <w:r w:rsidR="00E907E5">
        <w:rPr>
          <w:lang w:val="es-ES"/>
        </w:rPr>
        <w:t>PCA</w:t>
      </w:r>
      <w:r w:rsidRPr="00E87B30">
        <w:rPr>
          <w:lang w:val="es-ES"/>
        </w:rPr>
        <w:t xml:space="preserve"> 631) </w:t>
      </w:r>
      <w:r w:rsidR="00E907E5">
        <w:rPr>
          <w:lang w:val="es-ES"/>
        </w:rPr>
        <w:t>para casos específicos en los que los usuarios documenten un riesgo inaceptable en su aplicación.</w:t>
      </w:r>
    </w:p>
    <w:p w14:paraId="7A4AB1EC" w14:textId="3B829261" w:rsidR="00B52976" w:rsidRPr="00E87B30" w:rsidRDefault="00B52976" w:rsidP="00D80B69">
      <w:pPr>
        <w:pStyle w:val="Copytext"/>
        <w:rPr>
          <w:lang w:val="es-ES"/>
        </w:rPr>
      </w:pPr>
    </w:p>
    <w:tbl>
      <w:tblPr>
        <w:tblW w:w="7825" w:type="dxa"/>
        <w:tblInd w:w="-28" w:type="dxa"/>
        <w:tblCellMar>
          <w:left w:w="0" w:type="dxa"/>
          <w:right w:w="28" w:type="dxa"/>
        </w:tblCellMar>
        <w:tblLook w:val="04A0" w:firstRow="1" w:lastRow="0" w:firstColumn="1" w:lastColumn="0" w:noHBand="0" w:noVBand="1"/>
      </w:tblPr>
      <w:tblGrid>
        <w:gridCol w:w="3685"/>
        <w:gridCol w:w="283"/>
        <w:gridCol w:w="3857"/>
      </w:tblGrid>
      <w:tr w:rsidR="00C933FC" w:rsidRPr="00281D67" w14:paraId="7DCE8617" w14:textId="77777777" w:rsidTr="00E24639">
        <w:trPr>
          <w:trHeight w:hRule="exact" w:val="2494"/>
        </w:trPr>
        <w:tc>
          <w:tcPr>
            <w:tcW w:w="3685" w:type="dxa"/>
            <w:tcMar>
              <w:left w:w="0" w:type="dxa"/>
              <w:right w:w="0" w:type="dxa"/>
            </w:tcMar>
            <w:vAlign w:val="bottom"/>
          </w:tcPr>
          <w:p w14:paraId="5AA025F9" w14:textId="7410677C" w:rsidR="00C933FC" w:rsidRPr="00E87B30" w:rsidRDefault="0010615B" w:rsidP="00D80B69">
            <w:pPr>
              <w:pStyle w:val="Bu-Bildanker"/>
              <w:rPr>
                <w:lang w:val="es-ES"/>
              </w:rPr>
            </w:pPr>
            <w:r>
              <w:rPr>
                <w:noProof/>
              </w:rPr>
              <w:drawing>
                <wp:anchor distT="0" distB="0" distL="114300" distR="114300" simplePos="0" relativeHeight="251658240" behindDoc="1" locked="0" layoutInCell="1" allowOverlap="1" wp14:anchorId="75860A49" wp14:editId="3B152EF2">
                  <wp:simplePos x="0" y="0"/>
                  <wp:positionH relativeFrom="column">
                    <wp:posOffset>17780</wp:posOffset>
                  </wp:positionH>
                  <wp:positionV relativeFrom="paragraph">
                    <wp:posOffset>-124460</wp:posOffset>
                  </wp:positionV>
                  <wp:extent cx="1924050" cy="1503045"/>
                  <wp:effectExtent l="0" t="0" r="0" b="1905"/>
                  <wp:wrapNone/>
                  <wp:docPr id="24019925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99256" name=""/>
                          <pic:cNvPicPr/>
                        </pic:nvPicPr>
                        <pic:blipFill>
                          <a:blip r:embed="rId11"/>
                          <a:stretch>
                            <a:fillRect/>
                          </a:stretch>
                        </pic:blipFill>
                        <pic:spPr>
                          <a:xfrm>
                            <a:off x="0" y="0"/>
                            <a:ext cx="1924050" cy="150304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4BB9C9D2" w:rsidR="00C933FC" w:rsidRPr="00E87B30" w:rsidRDefault="00C933FC" w:rsidP="00D80B69">
            <w:pPr>
              <w:pStyle w:val="Bu-Bildanker"/>
              <w:rPr>
                <w:lang w:val="es-ES"/>
              </w:rPr>
            </w:pPr>
          </w:p>
        </w:tc>
        <w:tc>
          <w:tcPr>
            <w:tcW w:w="3857" w:type="dxa"/>
            <w:tcMar>
              <w:left w:w="0" w:type="dxa"/>
              <w:right w:w="0" w:type="dxa"/>
            </w:tcMar>
          </w:tcPr>
          <w:p w14:paraId="6C8D24ED" w14:textId="31805E53" w:rsidR="00C933FC" w:rsidRPr="00E87B30" w:rsidRDefault="00603614" w:rsidP="00D80B69">
            <w:pPr>
              <w:pStyle w:val="Bu-Bildanker"/>
              <w:rPr>
                <w:lang w:val="es-ES"/>
              </w:rPr>
            </w:pPr>
            <w:r w:rsidRPr="00603614">
              <w:rPr>
                <w:noProof/>
              </w:rPr>
              <w:drawing>
                <wp:anchor distT="0" distB="0" distL="114300" distR="114300" simplePos="0" relativeHeight="251659264" behindDoc="1" locked="0" layoutInCell="1" allowOverlap="1" wp14:anchorId="26785ABF" wp14:editId="22ECCB17">
                  <wp:simplePos x="0" y="0"/>
                  <wp:positionH relativeFrom="column">
                    <wp:posOffset>56819</wp:posOffset>
                  </wp:positionH>
                  <wp:positionV relativeFrom="paragraph">
                    <wp:posOffset>83185</wp:posOffset>
                  </wp:positionV>
                  <wp:extent cx="1597660" cy="1495425"/>
                  <wp:effectExtent l="0" t="0" r="2540" b="9525"/>
                  <wp:wrapNone/>
                  <wp:docPr id="165413229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32293" name=""/>
                          <pic:cNvPicPr/>
                        </pic:nvPicPr>
                        <pic:blipFill>
                          <a:blip r:embed="rId12"/>
                          <a:stretch>
                            <a:fillRect/>
                          </a:stretch>
                        </pic:blipFill>
                        <pic:spPr>
                          <a:xfrm>
                            <a:off x="0" y="0"/>
                            <a:ext cx="1597660" cy="1495425"/>
                          </a:xfrm>
                          <a:prstGeom prst="rect">
                            <a:avLst/>
                          </a:prstGeom>
                        </pic:spPr>
                      </pic:pic>
                    </a:graphicData>
                  </a:graphic>
                  <wp14:sizeRelH relativeFrom="page">
                    <wp14:pctWidth>0</wp14:pctWidth>
                  </wp14:sizeRelH>
                  <wp14:sizeRelV relativeFrom="page">
                    <wp14:pctHeight>0</wp14:pctHeight>
                  </wp14:sizeRelV>
                </wp:anchor>
              </w:drawing>
            </w:r>
          </w:p>
        </w:tc>
      </w:tr>
      <w:tr w:rsidR="00C933FC" w:rsidRPr="00281D67" w14:paraId="01FA39CF" w14:textId="77777777" w:rsidTr="00E24639">
        <w:tc>
          <w:tcPr>
            <w:tcW w:w="3685" w:type="dxa"/>
            <w:tcMar>
              <w:left w:w="0" w:type="dxa"/>
              <w:right w:w="0" w:type="dxa"/>
            </w:tcMar>
          </w:tcPr>
          <w:p w14:paraId="76FB1311" w14:textId="4461E758" w:rsidR="00C933FC" w:rsidRPr="00E87B30" w:rsidRDefault="000F55FF" w:rsidP="00D80B69">
            <w:pPr>
              <w:pStyle w:val="BU-Head"/>
              <w:rPr>
                <w:lang w:val="es-ES"/>
              </w:rPr>
            </w:pPr>
            <w:r w:rsidRPr="00E87B30">
              <w:rPr>
                <w:lang w:val="es-ES"/>
              </w:rPr>
              <w:t>Imagen 1</w:t>
            </w:r>
          </w:p>
          <w:p w14:paraId="191776FA" w14:textId="0AEA49C4" w:rsidR="00C933FC" w:rsidRPr="00E87B30" w:rsidRDefault="00364913" w:rsidP="00D80B69">
            <w:pPr>
              <w:pStyle w:val="BU"/>
              <w:rPr>
                <w:spacing w:val="-5"/>
                <w:lang w:val="es-ES"/>
              </w:rPr>
            </w:pPr>
            <w:r w:rsidRPr="0084071B">
              <w:rPr>
                <w:lang w:val="es-ES"/>
              </w:rPr>
              <w:t>Desde el</w:t>
            </w:r>
            <w:r w:rsidR="00FA6163" w:rsidRPr="0084071B">
              <w:rPr>
                <w:lang w:val="es-ES"/>
              </w:rPr>
              <w:t xml:space="preserve"> primer trimestre de 2026, la gama de </w:t>
            </w:r>
            <w:r w:rsidR="00E907E5" w:rsidRPr="0084071B">
              <w:rPr>
                <w:lang w:val="es-ES"/>
              </w:rPr>
              <w:t>refrigeradores</w:t>
            </w:r>
            <w:r w:rsidR="00FA6163" w:rsidRPr="0084071B">
              <w:rPr>
                <w:lang w:val="es-ES"/>
              </w:rPr>
              <w:t xml:space="preserve"> Blue e+ se conv</w:t>
            </w:r>
            <w:r w:rsidRPr="0084071B">
              <w:rPr>
                <w:lang w:val="es-ES"/>
              </w:rPr>
              <w:t>irtió</w:t>
            </w:r>
            <w:r w:rsidR="00FA6163" w:rsidRPr="0084071B">
              <w:rPr>
                <w:lang w:val="es-ES"/>
              </w:rPr>
              <w:t xml:space="preserve"> a</w:t>
            </w:r>
            <w:r w:rsidR="00E907E5" w:rsidRPr="0084071B">
              <w:rPr>
                <w:lang w:val="es-ES"/>
              </w:rPr>
              <w:t>l refrigerante</w:t>
            </w:r>
            <w:r w:rsidR="00FA6163" w:rsidRPr="0084071B">
              <w:rPr>
                <w:lang w:val="es-ES"/>
              </w:rPr>
              <w:t xml:space="preserve"> R-1234yf. La serie de </w:t>
            </w:r>
            <w:proofErr w:type="spellStart"/>
            <w:r w:rsidR="00E907E5" w:rsidRPr="0084071B">
              <w:rPr>
                <w:lang w:val="es-ES"/>
              </w:rPr>
              <w:t>chillers</w:t>
            </w:r>
            <w:proofErr w:type="spellEnd"/>
            <w:r w:rsidR="00FA6163" w:rsidRPr="0084071B">
              <w:rPr>
                <w:lang w:val="es-ES"/>
              </w:rPr>
              <w:t xml:space="preserve"> Blue e+</w:t>
            </w:r>
            <w:r w:rsidR="00E907E5" w:rsidRPr="0084071B">
              <w:rPr>
                <w:lang w:val="es-ES"/>
              </w:rPr>
              <w:t xml:space="preserve"> le</w:t>
            </w:r>
            <w:r w:rsidR="00FA6163" w:rsidRPr="0084071B">
              <w:rPr>
                <w:lang w:val="es-ES"/>
              </w:rPr>
              <w:t xml:space="preserve"> seguirá en el segundo trimestre.</w:t>
            </w:r>
          </w:p>
        </w:tc>
        <w:tc>
          <w:tcPr>
            <w:tcW w:w="283" w:type="dxa"/>
            <w:tcMar>
              <w:left w:w="0" w:type="dxa"/>
              <w:right w:w="0" w:type="dxa"/>
            </w:tcMar>
          </w:tcPr>
          <w:p w14:paraId="343C1BC7" w14:textId="77777777" w:rsidR="00C933FC" w:rsidRPr="00E87B30" w:rsidRDefault="00C933FC" w:rsidP="00D80B69">
            <w:pPr>
              <w:pStyle w:val="Copytext"/>
              <w:rPr>
                <w:lang w:val="es-ES"/>
              </w:rPr>
            </w:pPr>
          </w:p>
        </w:tc>
        <w:tc>
          <w:tcPr>
            <w:tcW w:w="3857" w:type="dxa"/>
            <w:tcMar>
              <w:left w:w="0" w:type="dxa"/>
              <w:right w:w="0" w:type="dxa"/>
            </w:tcMar>
          </w:tcPr>
          <w:p w14:paraId="01027BA9" w14:textId="040B1238" w:rsidR="00C933FC" w:rsidRPr="00E87B30" w:rsidRDefault="00BA7D68" w:rsidP="00D80B69">
            <w:pPr>
              <w:pStyle w:val="BU-Head"/>
              <w:rPr>
                <w:lang w:val="es-ES"/>
              </w:rPr>
            </w:pPr>
            <w:r w:rsidRPr="00E87B30">
              <w:rPr>
                <w:lang w:val="es-ES"/>
              </w:rPr>
              <w:t>Imagen 2 en negro / Imagen 3 en blanco</w:t>
            </w:r>
          </w:p>
          <w:p w14:paraId="574EB81E" w14:textId="095EB449" w:rsidR="00C933FC" w:rsidRPr="00E87B30" w:rsidRDefault="00E907E5" w:rsidP="00D80B69">
            <w:pPr>
              <w:pStyle w:val="BU"/>
              <w:rPr>
                <w:lang w:val="es-ES"/>
              </w:rPr>
            </w:pPr>
            <w:r w:rsidRPr="00E907E5">
              <w:rPr>
                <w:lang w:val="es-ES"/>
              </w:rPr>
              <w:t>Rittal ofrece una amplia gama de refrigeradores que utilizan el nuevo refrigerante R-1234yf, lo que permite a los fabricantes de maquinaria adaptar sus productos a futuros requisitos regulatorios, en la mayoría de los casos sin necesidad de realizar modificaciones adicionales.</w:t>
            </w:r>
          </w:p>
        </w:tc>
      </w:tr>
    </w:tbl>
    <w:p w14:paraId="0C70AA0C" w14:textId="77777777" w:rsidR="00D80B69" w:rsidRPr="00E87B30" w:rsidRDefault="00D80B69" w:rsidP="00D80B69">
      <w:pPr>
        <w:pStyle w:val="BU"/>
        <w:rPr>
          <w:lang w:val="es-ES"/>
        </w:rPr>
      </w:pPr>
    </w:p>
    <w:p w14:paraId="77887025" w14:textId="266F071D" w:rsidR="00D2409E" w:rsidRPr="00E87B30" w:rsidRDefault="00D80B69" w:rsidP="00D80B69">
      <w:pPr>
        <w:pStyle w:val="BU"/>
        <w:rPr>
          <w:lang w:val="es-ES"/>
        </w:rPr>
      </w:pPr>
      <w:r w:rsidRPr="00E87B30">
        <w:rPr>
          <w:lang w:val="es-ES"/>
        </w:rPr>
        <w:t>Puede reproducirse de forma gratuita. Por favor, nombre a Rittal GmbH &amp; Co. KG como fuente</w:t>
      </w:r>
    </w:p>
    <w:p w14:paraId="48433341" w14:textId="77777777" w:rsidR="00C40907" w:rsidRPr="00E87B30" w:rsidRDefault="00C40907" w:rsidP="00D80B69">
      <w:pPr>
        <w:pStyle w:val="Unternehmensportrait-H2"/>
        <w:rPr>
          <w:sz w:val="20"/>
          <w:lang w:val="es-ES"/>
        </w:rPr>
      </w:pPr>
      <w:r w:rsidRPr="00E87B30">
        <w:rPr>
          <w:lang w:val="es-ES"/>
        </w:rPr>
        <w:br w:type="page"/>
      </w:r>
    </w:p>
    <w:p w14:paraId="5512201A" w14:textId="1FD89145" w:rsidR="0030636B" w:rsidRPr="00E87B30" w:rsidRDefault="00D80B69" w:rsidP="00D80B69">
      <w:pPr>
        <w:pStyle w:val="Unternehmensportrait-H1"/>
        <w:rPr>
          <w:lang w:val="es-ES"/>
        </w:rPr>
      </w:pPr>
      <w:r w:rsidRPr="00E87B30">
        <w:rPr>
          <w:lang w:val="es-ES"/>
        </w:rPr>
        <w:lastRenderedPageBreak/>
        <w:t>Rittal</w:t>
      </w:r>
    </w:p>
    <w:p w14:paraId="336656F8" w14:textId="77777777" w:rsidR="00C707D4" w:rsidRPr="00E87B30" w:rsidRDefault="00C707D4" w:rsidP="00D80B69">
      <w:pPr>
        <w:pStyle w:val="Unternehmensportrait-Linie"/>
        <w:rPr>
          <w:lang w:val="es-ES"/>
        </w:rPr>
      </w:pPr>
    </w:p>
    <w:p w14:paraId="74354BF7" w14:textId="5CF284C2" w:rsidR="00493580" w:rsidRPr="00E87B30" w:rsidRDefault="006C7EF7" w:rsidP="00D80B69">
      <w:pPr>
        <w:pStyle w:val="Unternehmensportrait"/>
        <w:jc w:val="left"/>
        <w:rPr>
          <w:lang w:val="es-ES"/>
        </w:rPr>
      </w:pPr>
      <w:r w:rsidRPr="00E87B30">
        <w:rPr>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6FF9CB20" w14:textId="77777777" w:rsidR="00493580" w:rsidRPr="00E87B30" w:rsidRDefault="00493580" w:rsidP="00D80B69">
      <w:pPr>
        <w:pStyle w:val="Unternehmensportrait"/>
        <w:jc w:val="left"/>
        <w:rPr>
          <w:lang w:val="es-ES"/>
        </w:rPr>
      </w:pPr>
    </w:p>
    <w:p w14:paraId="149C2AAA" w14:textId="1074BE45" w:rsidR="00493580" w:rsidRPr="00E87B30" w:rsidRDefault="006C7EF7" w:rsidP="00D80B69">
      <w:pPr>
        <w:pStyle w:val="Unternehmensportrait"/>
        <w:jc w:val="left"/>
        <w:rPr>
          <w:lang w:val="es-ES"/>
        </w:rPr>
      </w:pPr>
      <w:r w:rsidRPr="00E87B30">
        <w:rPr>
          <w:lang w:val="es-ES"/>
        </w:rPr>
        <w:t xml:space="preserve">Nuestro enfoque y metodología: Rittal, Rittal Software </w:t>
      </w:r>
      <w:proofErr w:type="spellStart"/>
      <w:r w:rsidRPr="00E87B30">
        <w:rPr>
          <w:lang w:val="es-ES"/>
        </w:rPr>
        <w:t>Systems</w:t>
      </w:r>
      <w:proofErr w:type="spellEnd"/>
      <w:r w:rsidRPr="00E87B30">
        <w:rPr>
          <w:lang w:val="es-ES"/>
        </w:rPr>
        <w:t xml:space="preserve"> (</w:t>
      </w:r>
      <w:proofErr w:type="spellStart"/>
      <w:r w:rsidRPr="00E87B30">
        <w:rPr>
          <w:lang w:val="es-ES"/>
        </w:rPr>
        <w:t>Eplan</w:t>
      </w:r>
      <w:proofErr w:type="spellEnd"/>
      <w:r w:rsidRPr="00E87B30">
        <w:rPr>
          <w:lang w:val="es-ES"/>
        </w:rPr>
        <w:t xml:space="preserve">, </w:t>
      </w:r>
      <w:proofErr w:type="spellStart"/>
      <w:r w:rsidRPr="00E87B30">
        <w:rPr>
          <w:lang w:val="es-ES"/>
        </w:rPr>
        <w:t>Cideon</w:t>
      </w:r>
      <w:proofErr w:type="spellEnd"/>
      <w:r w:rsidRPr="00E87B30">
        <w:rPr>
          <w:lang w:val="es-ES"/>
        </w:rPr>
        <w:t xml:space="preserve">) y Rittal </w:t>
      </w:r>
      <w:proofErr w:type="spellStart"/>
      <w:r w:rsidRPr="00E87B30">
        <w:rPr>
          <w:lang w:val="es-ES"/>
        </w:rPr>
        <w:t>Automation</w:t>
      </w:r>
      <w:proofErr w:type="spellEnd"/>
      <w:r w:rsidRPr="00E87B30">
        <w:rPr>
          <w:lang w:val="es-ES"/>
        </w:rPr>
        <w:t xml:space="preserve"> </w:t>
      </w:r>
      <w:proofErr w:type="spellStart"/>
      <w:r w:rsidRPr="00E87B30">
        <w:rPr>
          <w:lang w:val="es-ES"/>
        </w:rPr>
        <w:t>Systems</w:t>
      </w:r>
      <w:proofErr w:type="spellEnd"/>
      <w:r w:rsidRPr="00E87B30">
        <w:rPr>
          <w:lang w:val="es-ES"/>
        </w:rPr>
        <w:t xml:space="preserve"> (RAS, </w:t>
      </w:r>
      <w:proofErr w:type="spellStart"/>
      <w:r w:rsidRPr="00E87B30">
        <w:rPr>
          <w:lang w:val="es-ES"/>
        </w:rPr>
        <w:t>Ehrt</w:t>
      </w:r>
      <w:proofErr w:type="spellEnd"/>
      <w:r w:rsidRPr="00E87B30">
        <w:rPr>
          <w:lang w:val="es-ES"/>
        </w:rPr>
        <w:t>, Alfra) combinan su experiencia en hardware y software para optimizar, optimizar e industrializar procesos a lo largo de toda la cadena de valor de sus clientes, incluyendo su infraestructura de TI, desde la construcción de control y de conmutación, la construcción de maquinaria hasta empresas manufactureras o el sector energético.</w:t>
      </w:r>
    </w:p>
    <w:p w14:paraId="3E60F9D9" w14:textId="77777777" w:rsidR="00493580" w:rsidRPr="00E87B30" w:rsidRDefault="00493580" w:rsidP="00D80B69">
      <w:pPr>
        <w:pStyle w:val="Unternehmensportrait"/>
        <w:jc w:val="left"/>
        <w:rPr>
          <w:lang w:val="es-ES"/>
        </w:rPr>
      </w:pPr>
    </w:p>
    <w:p w14:paraId="797D5853" w14:textId="0CDCFB2A" w:rsidR="006C7EF7" w:rsidRPr="00E87B30" w:rsidRDefault="006C7EF7" w:rsidP="00D80B69">
      <w:pPr>
        <w:pStyle w:val="Unternehmensportrait"/>
        <w:jc w:val="left"/>
        <w:rPr>
          <w:lang w:val="es-ES"/>
        </w:rPr>
      </w:pPr>
      <w:r w:rsidRPr="00E87B30">
        <w:rPr>
          <w:lang w:val="es-ES"/>
        </w:rPr>
        <w:t>Nuestra promesa de entrega: los productos estándar de Rittal se entregan en Alemania en 24 horas y en 48 horas en toda Europa.</w:t>
      </w:r>
    </w:p>
    <w:p w14:paraId="58B259AB" w14:textId="77777777" w:rsidR="006C7EF7" w:rsidRPr="00E87B30" w:rsidRDefault="006C7EF7" w:rsidP="00D80B69">
      <w:pPr>
        <w:pStyle w:val="Unternehmensportrait-H2"/>
        <w:rPr>
          <w:spacing w:val="-2"/>
          <w:lang w:val="es-ES"/>
        </w:rPr>
      </w:pPr>
      <w:r w:rsidRPr="00E87B30">
        <w:rPr>
          <w:lang w:val="es-ES"/>
        </w:rPr>
        <w:t>Céntrate en el cliente</w:t>
      </w:r>
    </w:p>
    <w:p w14:paraId="32142534" w14:textId="72139912" w:rsidR="00493580" w:rsidRPr="00E87B30" w:rsidRDefault="006C7EF7" w:rsidP="00D80B69">
      <w:pPr>
        <w:pStyle w:val="Unternehmensportrait"/>
        <w:jc w:val="left"/>
        <w:rPr>
          <w:lang w:val="es-ES"/>
        </w:rPr>
      </w:pPr>
      <w:r w:rsidRPr="00E87B30">
        <w:rPr>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4E677580" w14:textId="77777777" w:rsidR="00493580" w:rsidRPr="00E87B30" w:rsidRDefault="00493580" w:rsidP="00D80B69">
      <w:pPr>
        <w:pStyle w:val="Unternehmensportrait"/>
        <w:jc w:val="left"/>
        <w:rPr>
          <w:lang w:val="es-ES"/>
        </w:rPr>
      </w:pPr>
    </w:p>
    <w:p w14:paraId="4D26D627" w14:textId="49E41787" w:rsidR="006C7EF7" w:rsidRPr="00E87B30" w:rsidRDefault="006C7EF7" w:rsidP="00D80B69">
      <w:pPr>
        <w:pStyle w:val="Unternehmensportrait"/>
        <w:jc w:val="left"/>
        <w:rPr>
          <w:lang w:val="es-ES"/>
        </w:rPr>
      </w:pPr>
      <w:proofErr w:type="spellStart"/>
      <w:r w:rsidRPr="00E87B30">
        <w:rPr>
          <w:lang w:val="es-ES"/>
        </w:rPr>
        <w:t>Eplan</w:t>
      </w:r>
      <w:proofErr w:type="spellEnd"/>
      <w:r w:rsidRPr="00E87B30">
        <w:rPr>
          <w:lang w:val="es-ES"/>
        </w:rPr>
        <w:t xml:space="preserve"> y Rittal están impulsando el desarrollo del gemelo de automatización digital, haciendo que los datos sean accesibles y utilizables también en operaciones. </w:t>
      </w:r>
      <w:proofErr w:type="spellStart"/>
      <w:r w:rsidRPr="00E87B30">
        <w:rPr>
          <w:lang w:val="es-ES"/>
        </w:rPr>
        <w:t>Cideon</w:t>
      </w:r>
      <w:proofErr w:type="spellEnd"/>
      <w:r w:rsidRPr="00E87B30">
        <w:rPr>
          <w:lang w:val="es-ES"/>
        </w:rPr>
        <w:t xml:space="preserve"> está mejorando la consistencia de datos en el contexto del gemelo digital de productos con su experiencia en CAD/CAM, PDM/PLM y configuración de productos.</w:t>
      </w:r>
    </w:p>
    <w:p w14:paraId="65F2789F" w14:textId="77777777" w:rsidR="006C7EF7" w:rsidRPr="00E87B30" w:rsidRDefault="006C7EF7" w:rsidP="00D80B69">
      <w:pPr>
        <w:pStyle w:val="Unternehmensportrait-H2"/>
        <w:rPr>
          <w:lang w:val="es-ES"/>
        </w:rPr>
      </w:pPr>
      <w:r w:rsidRPr="00E87B30">
        <w:rPr>
          <w:lang w:val="es-ES"/>
        </w:rPr>
        <w:t>Sostenibilidad</w:t>
      </w:r>
    </w:p>
    <w:p w14:paraId="220A5F87" w14:textId="77777777" w:rsidR="006C7EF7" w:rsidRPr="00E87B30" w:rsidRDefault="006C7EF7" w:rsidP="00D80B69">
      <w:pPr>
        <w:pStyle w:val="Unternehmensportrait"/>
        <w:jc w:val="left"/>
        <w:rPr>
          <w:lang w:val="es-ES"/>
        </w:rPr>
      </w:pPr>
      <w:r w:rsidRPr="00E87B30">
        <w:rPr>
          <w:lang w:val="es-ES"/>
        </w:rPr>
        <w:t>La protección medioambiental y climática, la responsabilidad social y la gobernanza corporativa ética son algo habitual para Rittal. Nos tomamos muy en serio nuestra responsabilidad y responsabilidad por un futuro sostenible. Nuestro compromiso con la gestión y conservación de recursos incluye la mejora continua de nuestros propios procesos productivos, la minimización de la huella de carbono de nuestros productos y la provisión de soluciones que apoyen y ayuden a nuestros clientes a alcanzar sus propios objetivos climáticos.</w:t>
      </w:r>
    </w:p>
    <w:p w14:paraId="02FF89E0" w14:textId="77777777" w:rsidR="006C7EF7" w:rsidRPr="00E87B30" w:rsidRDefault="006C7EF7" w:rsidP="00D80B69">
      <w:pPr>
        <w:pStyle w:val="Unternehmensportrait-H2"/>
        <w:rPr>
          <w:spacing w:val="-2"/>
          <w:lang w:val="es-ES"/>
        </w:rPr>
      </w:pPr>
      <w:r w:rsidRPr="00E87B30">
        <w:rPr>
          <w:lang w:val="es-ES"/>
        </w:rPr>
        <w:t>Negocio familiar y actor global</w:t>
      </w:r>
    </w:p>
    <w:p w14:paraId="6011B71C" w14:textId="77777777" w:rsidR="00C47EFC" w:rsidRPr="00E87B30" w:rsidRDefault="00D72AEC" w:rsidP="00C47EFC">
      <w:pPr>
        <w:pStyle w:val="Unternehmensportrait"/>
        <w:jc w:val="left"/>
        <w:rPr>
          <w:lang w:val="es-ES"/>
        </w:rPr>
      </w:pPr>
      <w:r w:rsidRPr="00E87B30">
        <w:rPr>
          <w:lang w:val="es-ES"/>
        </w:rPr>
        <w:t xml:space="preserve">Fundada en 1961, Rittal es la mayor empresa del grupo Friedhelm Loh, gestionado por sus propietarios. El grupo opera a nivel mundial, con 13 centros de producción y 95 filiales internacionales. Cuenta con 12.600 empleados y registró unos ingresos de 3.100 millones de euros en el ejercicio 2024. En 2023, el Grupo Friedhelm Loh recibió los premios "Mejor Lugar para Aprender" y "Empleador del Futuro". En 2026, Rittal fue galardonada con el Top 100 Seal como una de las empresas medianas más innovadoras de Alemania por quinta vez consecutiva. En 2025, la planta de Rittal en </w:t>
      </w:r>
      <w:proofErr w:type="spellStart"/>
      <w:r w:rsidRPr="00E87B30">
        <w:rPr>
          <w:lang w:val="es-ES"/>
        </w:rPr>
        <w:t>Haiger</w:t>
      </w:r>
      <w:proofErr w:type="spellEnd"/>
      <w:r w:rsidRPr="00E87B30">
        <w:rPr>
          <w:lang w:val="es-ES"/>
        </w:rPr>
        <w:t xml:space="preserve"> ganó el primer puesto absoluto en la prestigiosa </w:t>
      </w:r>
      <w:proofErr w:type="spellStart"/>
      <w:r w:rsidRPr="00E87B30">
        <w:rPr>
          <w:lang w:val="es-ES"/>
        </w:rPr>
        <w:t>y</w:t>
      </w:r>
      <w:proofErr w:type="spellEnd"/>
      <w:r w:rsidRPr="00E87B30">
        <w:rPr>
          <w:lang w:val="es-ES"/>
        </w:rPr>
        <w:t xml:space="preserve"> independiente competición "Fábrica del Año", que la reconoció como un símbolo de excelencia manufacturera y una de las mejores fábricas de Europa.</w:t>
      </w:r>
    </w:p>
    <w:p w14:paraId="205902F6" w14:textId="22AA90D4" w:rsidR="006C7EF7" w:rsidRPr="00E87B30" w:rsidRDefault="006C7EF7" w:rsidP="00D80B69">
      <w:pPr>
        <w:pStyle w:val="Unternehmensportrait"/>
        <w:jc w:val="left"/>
        <w:rPr>
          <w:lang w:val="es-ES"/>
        </w:rPr>
      </w:pPr>
    </w:p>
    <w:p w14:paraId="11D34DC5" w14:textId="77777777" w:rsidR="006C7EF7" w:rsidRPr="00E87B30" w:rsidRDefault="006C7EF7" w:rsidP="00D80B69">
      <w:pPr>
        <w:pStyle w:val="Unternehmensportrait"/>
        <w:jc w:val="left"/>
        <w:rPr>
          <w:lang w:val="es-ES"/>
        </w:rPr>
      </w:pPr>
    </w:p>
    <w:p w14:paraId="725B4419" w14:textId="77777777" w:rsidR="006C7EF7" w:rsidRPr="00E87B30" w:rsidRDefault="006C7EF7" w:rsidP="00D80B69">
      <w:pPr>
        <w:pStyle w:val="Unternehmensportrait"/>
        <w:jc w:val="left"/>
        <w:rPr>
          <w:spacing w:val="-2"/>
          <w:lang w:val="es-ES"/>
        </w:rPr>
      </w:pPr>
      <w:r w:rsidRPr="00E87B30">
        <w:rPr>
          <w:lang w:val="es-ES"/>
        </w:rPr>
        <w:t>Para más información, visita www.rittal.com y www.friedhelm-loh-group.com.</w:t>
      </w:r>
    </w:p>
    <w:p w14:paraId="32506280" w14:textId="77777777" w:rsidR="0030636B" w:rsidRPr="00E87B30" w:rsidRDefault="0030636B" w:rsidP="00D80B69">
      <w:pPr>
        <w:pStyle w:val="Unternehmensportrait-Linie"/>
        <w:rPr>
          <w:lang w:val="es-ES"/>
        </w:rPr>
      </w:pPr>
    </w:p>
    <w:p w14:paraId="50DFA63C" w14:textId="77777777" w:rsidR="0030636B" w:rsidRPr="00E87B30" w:rsidRDefault="0030636B" w:rsidP="00D80B69">
      <w:pPr>
        <w:pStyle w:val="Unternehmensportrait"/>
        <w:jc w:val="left"/>
        <w:rPr>
          <w:lang w:val="es-ES"/>
        </w:rPr>
      </w:pPr>
    </w:p>
    <w:p w14:paraId="39763639" w14:textId="61818CEE" w:rsidR="00A73C13" w:rsidRPr="00E907E5" w:rsidRDefault="005F162A" w:rsidP="00D80B69">
      <w:pPr>
        <w:pStyle w:val="Unternehmenkommunikation"/>
        <w:jc w:val="left"/>
        <w:rPr>
          <w:lang w:val="es-ES"/>
        </w:rPr>
      </w:pPr>
      <w:r w:rsidRPr="00E87B30">
        <w:rPr>
          <w:lang w:val="es-ES"/>
        </w:rPr>
        <w:t>Comunicación Corporativa y de Marca</w:t>
      </w:r>
    </w:p>
    <w:sectPr w:rsidR="00A73C13" w:rsidRPr="00E907E5"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E7BBD" w14:textId="77777777" w:rsidR="006758A3" w:rsidRDefault="006758A3" w:rsidP="00C437B6">
      <w:r>
        <w:separator/>
      </w:r>
    </w:p>
  </w:endnote>
  <w:endnote w:type="continuationSeparator" w:id="0">
    <w:p w14:paraId="4C36E834" w14:textId="77777777" w:rsidR="006758A3" w:rsidRDefault="006758A3" w:rsidP="00C437B6">
      <w:r>
        <w:continuationSeparator/>
      </w:r>
    </w:p>
  </w:endnote>
  <w:endnote w:type="continuationNotice" w:id="1">
    <w:p w14:paraId="7C785BAD" w14:textId="77777777" w:rsidR="006758A3" w:rsidRDefault="006758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Piedepgina"/>
    </w:pPr>
    <w:r>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6BDE4" w14:textId="77777777" w:rsidR="006758A3" w:rsidRDefault="006758A3" w:rsidP="00C437B6">
      <w:r>
        <w:separator/>
      </w:r>
    </w:p>
  </w:footnote>
  <w:footnote w:type="continuationSeparator" w:id="0">
    <w:p w14:paraId="24DF2052" w14:textId="77777777" w:rsidR="006758A3" w:rsidRDefault="006758A3" w:rsidP="00C437B6">
      <w:r>
        <w:continuationSeparator/>
      </w:r>
    </w:p>
  </w:footnote>
  <w:footnote w:type="continuationNotice" w:id="1">
    <w:p w14:paraId="382F985D" w14:textId="77777777" w:rsidR="006758A3" w:rsidRDefault="006758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2C47335A" w:rsidR="00202595" w:rsidRDefault="002666CB">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0800" behindDoc="0" locked="0" layoutInCell="1" allowOverlap="1" wp14:anchorId="4289DA63" wp14:editId="5B344FC2">
              <wp:simplePos x="0" y="0"/>
              <wp:positionH relativeFrom="margin">
                <wp:align>left</wp:align>
              </wp:positionH>
              <wp:positionV relativeFrom="paragraph">
                <wp:posOffset>443865</wp:posOffset>
              </wp:positionV>
              <wp:extent cx="3903980" cy="409575"/>
              <wp:effectExtent l="0" t="0" r="20320" b="28575"/>
              <wp:wrapNone/>
              <wp:docPr id="587905374"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3980" cy="409575"/>
                      </a:xfrm>
                      <a:prstGeom prst="rect">
                        <a:avLst/>
                      </a:prstGeom>
                      <a:solidFill>
                        <a:sysClr val="window" lastClr="FFFFFF"/>
                      </a:solidFill>
                      <a:ln w="6350">
                        <a:solidFill>
                          <a:prstClr val="black"/>
                        </a:solidFill>
                      </a:ln>
                    </wps:spPr>
                    <wps:txbx>
                      <w:txbxContent>
                        <w:p w14:paraId="0FFE98DB" w14:textId="70D3249E" w:rsidR="002666CB" w:rsidRPr="00E87B30" w:rsidRDefault="002666CB" w:rsidP="002666CB">
                          <w:pPr>
                            <w:rPr>
                              <w:lang w:val="es-ES"/>
                            </w:rPr>
                          </w:pPr>
                          <w:r w:rsidRPr="00E87B30">
                            <w:rPr>
                              <w:lang w:val="es-ES"/>
                            </w:rPr>
                            <w:t xml:space="preserve">Rittal y </w:t>
                          </w:r>
                          <w:proofErr w:type="spellStart"/>
                          <w:r w:rsidRPr="00E87B30">
                            <w:rPr>
                              <w:lang w:val="es-ES"/>
                            </w:rPr>
                            <w:t>Eplan</w:t>
                          </w:r>
                          <w:proofErr w:type="spellEnd"/>
                          <w:r w:rsidRPr="00E87B30">
                            <w:rPr>
                              <w:lang w:val="es-ES"/>
                            </w:rPr>
                            <w:t xml:space="preserve"> en la Hannover</w:t>
                          </w:r>
                          <w:r w:rsidR="00281D67">
                            <w:rPr>
                              <w:lang w:val="es-ES"/>
                            </w:rPr>
                            <w:t xml:space="preserve"> </w:t>
                          </w:r>
                          <w:proofErr w:type="spellStart"/>
                          <w:r w:rsidR="00281D67">
                            <w:rPr>
                              <w:lang w:val="es-ES"/>
                            </w:rPr>
                            <w:t>Messe</w:t>
                          </w:r>
                          <w:proofErr w:type="spellEnd"/>
                          <w:r w:rsidRPr="00E87B30">
                            <w:rPr>
                              <w:lang w:val="es-ES"/>
                            </w:rPr>
                            <w:t xml:space="preserve"> del 20 al 24 de abril de 2026, </w:t>
                          </w:r>
                          <w:r w:rsidR="008E61DB">
                            <w:rPr>
                              <w:lang w:val="es-ES"/>
                            </w:rPr>
                            <w:t>Pabellón</w:t>
                          </w:r>
                          <w:r w:rsidRPr="00E87B30">
                            <w:rPr>
                              <w:lang w:val="es-ES"/>
                            </w:rPr>
                            <w:t xml:space="preserve"> 27, </w:t>
                          </w:r>
                          <w:r w:rsidR="008E61DB">
                            <w:rPr>
                              <w:lang w:val="es-ES"/>
                            </w:rPr>
                            <w:t>Stand</w:t>
                          </w:r>
                          <w:r w:rsidRPr="00E87B30">
                            <w:rPr>
                              <w:lang w:val="es-ES"/>
                            </w:rPr>
                            <w:t xml:space="preserve">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289DA63" id="_x0000_t202" coordsize="21600,21600" o:spt="202" path="m,l,21600r21600,l21600,xe">
              <v:stroke joinstyle="miter"/>
              <v:path gradientshapeok="t" o:connecttype="rect"/>
            </v:shapetype>
            <v:shape id="Textfeld 1" o:spid="_x0000_s1026" type="#_x0000_t202" style="position:absolute;margin-left:0;margin-top:34.95pt;width:307.4pt;height:32.2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" fillcolor="window" strokeweight=".5pt">
              <v:path arrowok="t"/>
              <v:textbox>
                <w:txbxContent>
                  <w:p w14:paraId="0FFE98DB" w14:textId="70D3249E" w:rsidR="002666CB" w:rsidRPr="00E87B30" w:rsidRDefault="002666CB" w:rsidP="002666CB">
                    <w:pPr>
                      <w:rPr>
                        <w:lang w:val="es-ES"/>
                      </w:rPr>
                    </w:pPr>
                    <w:r w:rsidRPr="00E87B30">
                      <w:rPr>
                        <w:lang w:val="es-ES"/>
                      </w:rPr>
                      <w:t xml:space="preserve">Rittal y </w:t>
                    </w:r>
                    <w:proofErr w:type="spellStart"/>
                    <w:r w:rsidRPr="00E87B30">
                      <w:rPr>
                        <w:lang w:val="es-ES"/>
                      </w:rPr>
                      <w:t>Eplan</w:t>
                    </w:r>
                    <w:proofErr w:type="spellEnd"/>
                    <w:r w:rsidRPr="00E87B30">
                      <w:rPr>
                        <w:lang w:val="es-ES"/>
                      </w:rPr>
                      <w:t xml:space="preserve"> en la Hannover</w:t>
                    </w:r>
                    <w:r w:rsidR="00281D67">
                      <w:rPr>
                        <w:lang w:val="es-ES"/>
                      </w:rPr>
                      <w:t xml:space="preserve"> </w:t>
                    </w:r>
                    <w:proofErr w:type="spellStart"/>
                    <w:r w:rsidR="00281D67">
                      <w:rPr>
                        <w:lang w:val="es-ES"/>
                      </w:rPr>
                      <w:t>Messe</w:t>
                    </w:r>
                    <w:proofErr w:type="spellEnd"/>
                    <w:r w:rsidRPr="00E87B30">
                      <w:rPr>
                        <w:lang w:val="es-ES"/>
                      </w:rPr>
                      <w:t xml:space="preserve"> del 20 al 24 de abril de 2026, </w:t>
                    </w:r>
                    <w:r w:rsidR="008E61DB">
                      <w:rPr>
                        <w:lang w:val="es-ES"/>
                      </w:rPr>
                      <w:t>Pabellón</w:t>
                    </w:r>
                    <w:r w:rsidRPr="00E87B30">
                      <w:rPr>
                        <w:lang w:val="es-ES"/>
                      </w:rPr>
                      <w:t xml:space="preserve"> 27, </w:t>
                    </w:r>
                    <w:r w:rsidR="008E61DB">
                      <w:rPr>
                        <w:lang w:val="es-ES"/>
                      </w:rPr>
                      <w:t>Stand</w:t>
                    </w:r>
                    <w:r w:rsidRPr="00E87B30">
                      <w:rPr>
                        <w:lang w:val="es-ES"/>
                      </w:rPr>
                      <w:t xml:space="preserve"> D50</w:t>
                    </w:r>
                  </w:p>
                </w:txbxContent>
              </v:textbox>
              <w10:wrap anchorx="margin"/>
            </v:shape>
          </w:pict>
        </mc:Fallback>
      </mc:AlternateContent>
    </w:r>
    <w:r w:rsidR="0011102D">
      <w:rPr>
        <w:rFonts w:ascii="Times New Roman" w:hAnsi="Times New Roman"/>
        <w:noProof/>
        <w:sz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1102D">
      <w:rPr>
        <w:noProof/>
        <w:sz w:val="16"/>
      </w:rPr>
      <mc:AlternateContent>
        <mc:Choice Requires="wps">
          <w:drawing>
            <wp:anchor distT="0" distB="0" distL="114300" distR="114300" simplePos="0" relativeHeight="251658752" behindDoc="1" locked="0" layoutInCell="0" allowOverlap="1" wp14:anchorId="00F58628" wp14:editId="567696B1">
              <wp:simplePos x="0" y="0"/>
              <wp:positionH relativeFrom="page">
                <wp:posOffset>864235</wp:posOffset>
              </wp:positionH>
              <wp:positionV relativeFrom="page">
                <wp:posOffset>449580</wp:posOffset>
              </wp:positionV>
              <wp:extent cx="1485900" cy="351790"/>
              <wp:effectExtent l="0" t="1905" r="2540" b="0"/>
              <wp:wrapNone/>
              <wp:docPr id="171619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650"/>
    <w:rsid w:val="000050F3"/>
    <w:rsid w:val="00022489"/>
    <w:rsid w:val="00022DB6"/>
    <w:rsid w:val="00024B49"/>
    <w:rsid w:val="00027B50"/>
    <w:rsid w:val="00034685"/>
    <w:rsid w:val="00037FD6"/>
    <w:rsid w:val="00046E2A"/>
    <w:rsid w:val="00047B15"/>
    <w:rsid w:val="00052DD2"/>
    <w:rsid w:val="00057B6C"/>
    <w:rsid w:val="0006724C"/>
    <w:rsid w:val="00072B7C"/>
    <w:rsid w:val="00080930"/>
    <w:rsid w:val="00082F51"/>
    <w:rsid w:val="000874C6"/>
    <w:rsid w:val="000902CE"/>
    <w:rsid w:val="000915FC"/>
    <w:rsid w:val="0009219E"/>
    <w:rsid w:val="000A62FE"/>
    <w:rsid w:val="000C0A0A"/>
    <w:rsid w:val="000D044A"/>
    <w:rsid w:val="000E6CF9"/>
    <w:rsid w:val="000E7A2C"/>
    <w:rsid w:val="000F0D21"/>
    <w:rsid w:val="000F10C0"/>
    <w:rsid w:val="000F55FF"/>
    <w:rsid w:val="0010615B"/>
    <w:rsid w:val="0011102D"/>
    <w:rsid w:val="00114302"/>
    <w:rsid w:val="00114696"/>
    <w:rsid w:val="00133AAD"/>
    <w:rsid w:val="00140623"/>
    <w:rsid w:val="00145F70"/>
    <w:rsid w:val="001472A8"/>
    <w:rsid w:val="001519D2"/>
    <w:rsid w:val="0018219C"/>
    <w:rsid w:val="0019671F"/>
    <w:rsid w:val="001B189F"/>
    <w:rsid w:val="001B7268"/>
    <w:rsid w:val="001C65F2"/>
    <w:rsid w:val="001D1B0E"/>
    <w:rsid w:val="001D2BC7"/>
    <w:rsid w:val="001D3A1B"/>
    <w:rsid w:val="001D555B"/>
    <w:rsid w:val="001D6722"/>
    <w:rsid w:val="001E046B"/>
    <w:rsid w:val="001E12F6"/>
    <w:rsid w:val="001E1BFE"/>
    <w:rsid w:val="001E78D8"/>
    <w:rsid w:val="002004D2"/>
    <w:rsid w:val="002016FD"/>
    <w:rsid w:val="00202595"/>
    <w:rsid w:val="0020621C"/>
    <w:rsid w:val="0023718F"/>
    <w:rsid w:val="002666CB"/>
    <w:rsid w:val="00274BBB"/>
    <w:rsid w:val="00281D67"/>
    <w:rsid w:val="002A6AF0"/>
    <w:rsid w:val="002B0743"/>
    <w:rsid w:val="002B4608"/>
    <w:rsid w:val="002C00E6"/>
    <w:rsid w:val="002C0EBC"/>
    <w:rsid w:val="002C6615"/>
    <w:rsid w:val="002D2830"/>
    <w:rsid w:val="002D3205"/>
    <w:rsid w:val="002E1F7F"/>
    <w:rsid w:val="002E20DA"/>
    <w:rsid w:val="0030636B"/>
    <w:rsid w:val="00310CCD"/>
    <w:rsid w:val="0031514E"/>
    <w:rsid w:val="00315545"/>
    <w:rsid w:val="00346095"/>
    <w:rsid w:val="00361F39"/>
    <w:rsid w:val="00362981"/>
    <w:rsid w:val="00364913"/>
    <w:rsid w:val="00367B14"/>
    <w:rsid w:val="00381D89"/>
    <w:rsid w:val="00397E80"/>
    <w:rsid w:val="003A7EAF"/>
    <w:rsid w:val="003B413C"/>
    <w:rsid w:val="003C1DB0"/>
    <w:rsid w:val="003C464D"/>
    <w:rsid w:val="004208EA"/>
    <w:rsid w:val="00424077"/>
    <w:rsid w:val="0042557E"/>
    <w:rsid w:val="004305EE"/>
    <w:rsid w:val="00431D28"/>
    <w:rsid w:val="00445DA2"/>
    <w:rsid w:val="00454741"/>
    <w:rsid w:val="00455B4F"/>
    <w:rsid w:val="00456F1A"/>
    <w:rsid w:val="004643E3"/>
    <w:rsid w:val="004670EC"/>
    <w:rsid w:val="0048061A"/>
    <w:rsid w:val="004845A9"/>
    <w:rsid w:val="004860F9"/>
    <w:rsid w:val="00486A98"/>
    <w:rsid w:val="00490A97"/>
    <w:rsid w:val="0049199B"/>
    <w:rsid w:val="0049297D"/>
    <w:rsid w:val="00493580"/>
    <w:rsid w:val="004C30CC"/>
    <w:rsid w:val="004D4C0A"/>
    <w:rsid w:val="004D56BD"/>
    <w:rsid w:val="004E26A8"/>
    <w:rsid w:val="004F229F"/>
    <w:rsid w:val="004F5019"/>
    <w:rsid w:val="00512F78"/>
    <w:rsid w:val="00513BB5"/>
    <w:rsid w:val="00533EE2"/>
    <w:rsid w:val="005467FA"/>
    <w:rsid w:val="0055018D"/>
    <w:rsid w:val="00556081"/>
    <w:rsid w:val="00566761"/>
    <w:rsid w:val="0057573C"/>
    <w:rsid w:val="00584C14"/>
    <w:rsid w:val="00597790"/>
    <w:rsid w:val="005A7994"/>
    <w:rsid w:val="005C2081"/>
    <w:rsid w:val="005D33D3"/>
    <w:rsid w:val="005D7486"/>
    <w:rsid w:val="005F162A"/>
    <w:rsid w:val="005F47D3"/>
    <w:rsid w:val="00603614"/>
    <w:rsid w:val="006049AB"/>
    <w:rsid w:val="00605083"/>
    <w:rsid w:val="00605CE0"/>
    <w:rsid w:val="00613397"/>
    <w:rsid w:val="006270D1"/>
    <w:rsid w:val="006467B0"/>
    <w:rsid w:val="00650E38"/>
    <w:rsid w:val="00654226"/>
    <w:rsid w:val="00654F16"/>
    <w:rsid w:val="0066797C"/>
    <w:rsid w:val="006758A3"/>
    <w:rsid w:val="00681C6A"/>
    <w:rsid w:val="006A0E79"/>
    <w:rsid w:val="006A2213"/>
    <w:rsid w:val="006A43FD"/>
    <w:rsid w:val="006B0F11"/>
    <w:rsid w:val="006B4F1C"/>
    <w:rsid w:val="006B5D50"/>
    <w:rsid w:val="006C0224"/>
    <w:rsid w:val="006C115F"/>
    <w:rsid w:val="006C2B8D"/>
    <w:rsid w:val="006C6990"/>
    <w:rsid w:val="006C7EF7"/>
    <w:rsid w:val="006D3B04"/>
    <w:rsid w:val="006D5EAA"/>
    <w:rsid w:val="00701182"/>
    <w:rsid w:val="007242D5"/>
    <w:rsid w:val="00727BEA"/>
    <w:rsid w:val="007315EA"/>
    <w:rsid w:val="007379AB"/>
    <w:rsid w:val="007568B6"/>
    <w:rsid w:val="00760BC1"/>
    <w:rsid w:val="007922D3"/>
    <w:rsid w:val="007A11CB"/>
    <w:rsid w:val="007C2C27"/>
    <w:rsid w:val="007D60A7"/>
    <w:rsid w:val="007D7AE2"/>
    <w:rsid w:val="007E3FDD"/>
    <w:rsid w:val="007F5737"/>
    <w:rsid w:val="00800E83"/>
    <w:rsid w:val="00801528"/>
    <w:rsid w:val="00802C23"/>
    <w:rsid w:val="00805501"/>
    <w:rsid w:val="00805E8F"/>
    <w:rsid w:val="00810475"/>
    <w:rsid w:val="0084071B"/>
    <w:rsid w:val="00841C13"/>
    <w:rsid w:val="008436BE"/>
    <w:rsid w:val="0088259E"/>
    <w:rsid w:val="0088261C"/>
    <w:rsid w:val="00886E96"/>
    <w:rsid w:val="00894246"/>
    <w:rsid w:val="00895E52"/>
    <w:rsid w:val="008A099E"/>
    <w:rsid w:val="008C7BC4"/>
    <w:rsid w:val="008D24CE"/>
    <w:rsid w:val="008E0771"/>
    <w:rsid w:val="008E61DB"/>
    <w:rsid w:val="008F5489"/>
    <w:rsid w:val="00904A81"/>
    <w:rsid w:val="00904BFC"/>
    <w:rsid w:val="009058E3"/>
    <w:rsid w:val="00910AB0"/>
    <w:rsid w:val="00915205"/>
    <w:rsid w:val="00927E70"/>
    <w:rsid w:val="00947C4F"/>
    <w:rsid w:val="00960E6A"/>
    <w:rsid w:val="00976A4F"/>
    <w:rsid w:val="00982783"/>
    <w:rsid w:val="009859B7"/>
    <w:rsid w:val="00986983"/>
    <w:rsid w:val="00996B25"/>
    <w:rsid w:val="00996EAE"/>
    <w:rsid w:val="009A0F9D"/>
    <w:rsid w:val="009D411D"/>
    <w:rsid w:val="009D709C"/>
    <w:rsid w:val="009D7137"/>
    <w:rsid w:val="009E0DC3"/>
    <w:rsid w:val="009E0ED8"/>
    <w:rsid w:val="009E3CD4"/>
    <w:rsid w:val="009E4D10"/>
    <w:rsid w:val="009F3123"/>
    <w:rsid w:val="00A0608C"/>
    <w:rsid w:val="00A23870"/>
    <w:rsid w:val="00A51035"/>
    <w:rsid w:val="00A51E5F"/>
    <w:rsid w:val="00A66242"/>
    <w:rsid w:val="00A705C0"/>
    <w:rsid w:val="00A71BED"/>
    <w:rsid w:val="00A73C13"/>
    <w:rsid w:val="00A90FC3"/>
    <w:rsid w:val="00A95DE1"/>
    <w:rsid w:val="00AA6A2B"/>
    <w:rsid w:val="00AC391D"/>
    <w:rsid w:val="00AD2BC0"/>
    <w:rsid w:val="00AD5C77"/>
    <w:rsid w:val="00B2258A"/>
    <w:rsid w:val="00B234F0"/>
    <w:rsid w:val="00B31458"/>
    <w:rsid w:val="00B317B0"/>
    <w:rsid w:val="00B42CC3"/>
    <w:rsid w:val="00B438BA"/>
    <w:rsid w:val="00B5087C"/>
    <w:rsid w:val="00B52976"/>
    <w:rsid w:val="00B70890"/>
    <w:rsid w:val="00B75E7A"/>
    <w:rsid w:val="00B82C8E"/>
    <w:rsid w:val="00B921A4"/>
    <w:rsid w:val="00B9325B"/>
    <w:rsid w:val="00B938AC"/>
    <w:rsid w:val="00BA30D7"/>
    <w:rsid w:val="00BA7D68"/>
    <w:rsid w:val="00BB0721"/>
    <w:rsid w:val="00BD1E6B"/>
    <w:rsid w:val="00C0410E"/>
    <w:rsid w:val="00C31D64"/>
    <w:rsid w:val="00C3475A"/>
    <w:rsid w:val="00C34AAD"/>
    <w:rsid w:val="00C40907"/>
    <w:rsid w:val="00C4153F"/>
    <w:rsid w:val="00C437B6"/>
    <w:rsid w:val="00C47EFC"/>
    <w:rsid w:val="00C6424F"/>
    <w:rsid w:val="00C707D4"/>
    <w:rsid w:val="00C7714F"/>
    <w:rsid w:val="00C85246"/>
    <w:rsid w:val="00C933FC"/>
    <w:rsid w:val="00C9738B"/>
    <w:rsid w:val="00CA28D3"/>
    <w:rsid w:val="00CB1B61"/>
    <w:rsid w:val="00CC1C06"/>
    <w:rsid w:val="00CC229D"/>
    <w:rsid w:val="00CC3274"/>
    <w:rsid w:val="00CC3755"/>
    <w:rsid w:val="00CC57AA"/>
    <w:rsid w:val="00CD4E76"/>
    <w:rsid w:val="00CD7C6C"/>
    <w:rsid w:val="00CE7361"/>
    <w:rsid w:val="00CF606D"/>
    <w:rsid w:val="00CF7702"/>
    <w:rsid w:val="00D02577"/>
    <w:rsid w:val="00D02D5B"/>
    <w:rsid w:val="00D05C97"/>
    <w:rsid w:val="00D109A1"/>
    <w:rsid w:val="00D118CF"/>
    <w:rsid w:val="00D205F9"/>
    <w:rsid w:val="00D2409E"/>
    <w:rsid w:val="00D36A86"/>
    <w:rsid w:val="00D50860"/>
    <w:rsid w:val="00D67B9F"/>
    <w:rsid w:val="00D72AEC"/>
    <w:rsid w:val="00D7743E"/>
    <w:rsid w:val="00D80B69"/>
    <w:rsid w:val="00D827F6"/>
    <w:rsid w:val="00D92FEF"/>
    <w:rsid w:val="00DA0AC1"/>
    <w:rsid w:val="00DA0DF7"/>
    <w:rsid w:val="00DA2BB4"/>
    <w:rsid w:val="00DA443A"/>
    <w:rsid w:val="00DA59BC"/>
    <w:rsid w:val="00DA78A6"/>
    <w:rsid w:val="00DC3EBD"/>
    <w:rsid w:val="00DC7953"/>
    <w:rsid w:val="00DC7BEC"/>
    <w:rsid w:val="00DD48DF"/>
    <w:rsid w:val="00DE247E"/>
    <w:rsid w:val="00DF3CF6"/>
    <w:rsid w:val="00E02D8D"/>
    <w:rsid w:val="00E05F99"/>
    <w:rsid w:val="00E074EE"/>
    <w:rsid w:val="00E1120B"/>
    <w:rsid w:val="00E24639"/>
    <w:rsid w:val="00E4364C"/>
    <w:rsid w:val="00E43B92"/>
    <w:rsid w:val="00E46942"/>
    <w:rsid w:val="00E73717"/>
    <w:rsid w:val="00E74D17"/>
    <w:rsid w:val="00E87B30"/>
    <w:rsid w:val="00E907E5"/>
    <w:rsid w:val="00EB1ED8"/>
    <w:rsid w:val="00ED3D20"/>
    <w:rsid w:val="00EE1438"/>
    <w:rsid w:val="00EE2E8D"/>
    <w:rsid w:val="00EE437A"/>
    <w:rsid w:val="00F02445"/>
    <w:rsid w:val="00F27F6A"/>
    <w:rsid w:val="00F34793"/>
    <w:rsid w:val="00F46C85"/>
    <w:rsid w:val="00F53B77"/>
    <w:rsid w:val="00F56180"/>
    <w:rsid w:val="00F61379"/>
    <w:rsid w:val="00F90071"/>
    <w:rsid w:val="00F90E37"/>
    <w:rsid w:val="00F92CD0"/>
    <w:rsid w:val="00FA6163"/>
    <w:rsid w:val="00FB1403"/>
    <w:rsid w:val="00FB4082"/>
    <w:rsid w:val="00FB5777"/>
    <w:rsid w:val="00FC0CD2"/>
    <w:rsid w:val="00FC3A8C"/>
    <w:rsid w:val="00FC4E80"/>
    <w:rsid w:val="00FD4CFC"/>
    <w:rsid w:val="00FD5AD2"/>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AB80985-DB71-4DD3-97F3-3EBE4415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styleId="Revisin">
    <w:name w:val="Revision"/>
    <w:hidden/>
    <w:uiPriority w:val="99"/>
    <w:semiHidden/>
    <w:rsid w:val="00894246"/>
    <w:pPr>
      <w:spacing w:after="0" w:line="240" w:lineRule="auto"/>
    </w:pPr>
    <w:rPr>
      <w:rFonts w:ascii="Arial" w:hAnsi="Arial" w:cs="Arial"/>
    </w:rPr>
  </w:style>
  <w:style w:type="character" w:styleId="Refdecomentario">
    <w:name w:val="annotation reference"/>
    <w:basedOn w:val="Fuentedeprrafopredeter"/>
    <w:uiPriority w:val="99"/>
    <w:semiHidden/>
    <w:unhideWhenUsed/>
    <w:rsid w:val="00802C23"/>
    <w:rPr>
      <w:sz w:val="16"/>
      <w:szCs w:val="16"/>
    </w:rPr>
  </w:style>
  <w:style w:type="paragraph" w:styleId="Textocomentario">
    <w:name w:val="annotation text"/>
    <w:basedOn w:val="Normal"/>
    <w:link w:val="TextocomentarioCar"/>
    <w:uiPriority w:val="99"/>
    <w:unhideWhenUsed/>
    <w:rsid w:val="00802C23"/>
    <w:rPr>
      <w:sz w:val="20"/>
      <w:szCs w:val="20"/>
    </w:rPr>
  </w:style>
  <w:style w:type="character" w:customStyle="1" w:styleId="TextocomentarioCar">
    <w:name w:val="Texto comentario Car"/>
    <w:basedOn w:val="Fuentedeprrafopredeter"/>
    <w:link w:val="Textocomentario"/>
    <w:uiPriority w:val="99"/>
    <w:rsid w:val="00802C23"/>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802C23"/>
    <w:rPr>
      <w:b/>
      <w:bCs/>
    </w:rPr>
  </w:style>
  <w:style w:type="character" w:customStyle="1" w:styleId="AsuntodelcomentarioCar">
    <w:name w:val="Asunto del comentario Car"/>
    <w:basedOn w:val="TextocomentarioCar"/>
    <w:link w:val="Asuntodelcomentario"/>
    <w:uiPriority w:val="99"/>
    <w:semiHidden/>
    <w:rsid w:val="00802C23"/>
    <w:rPr>
      <w:rFonts w:ascii="Arial" w:hAnsi="Arial" w:cs="Arial"/>
      <w:b/>
      <w:bCs/>
      <w:sz w:val="20"/>
      <w:szCs w:val="20"/>
    </w:rPr>
  </w:style>
  <w:style w:type="character" w:styleId="Mencinsinresolver">
    <w:name w:val="Unresolved Mention"/>
    <w:basedOn w:val="Fuentedeprrafopredeter"/>
    <w:uiPriority w:val="99"/>
    <w:semiHidden/>
    <w:unhideWhenUsed/>
    <w:rsid w:val="006D3B04"/>
    <w:rPr>
      <w:color w:val="605E5C"/>
      <w:shd w:val="clear" w:color="auto" w:fill="E1DFDD"/>
    </w:rPr>
  </w:style>
  <w:style w:type="character" w:styleId="Textodelmarcadordeposicin">
    <w:name w:val="Placeholder Text"/>
    <w:basedOn w:val="Fuentedeprrafopredeter"/>
    <w:uiPriority w:val="99"/>
    <w:semiHidden/>
    <w:rsid w:val="00E87B3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4CC2286-DBDC-4C6B-872E-E8336F1A6A3D}">
  <ds:schemaRefs>
    <ds:schemaRef ds:uri="http://schemas.microsoft.com/sharepoint/v3/contenttype/forms"/>
  </ds:schemaRefs>
</ds:datastoreItem>
</file>

<file path=customXml/itemProps2.xml><?xml version="1.0" encoding="utf-8"?>
<ds:datastoreItem xmlns:ds="http://schemas.openxmlformats.org/officeDocument/2006/customXml" ds:itemID="{E58BA7B2-B29D-4C37-BFAC-BDC671998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2AB35-16A7-46FC-BB22-ADA7F8AAE12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1440</Words>
  <Characters>7920</Characters>
  <Application>Microsoft Office Word</Application>
  <DocSecurity>0</DocSecurity>
  <Lines>66</Lines>
  <Paragraphs>18</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c:description/>
  <cp:lastModifiedBy>Nuria Poch</cp:lastModifiedBy>
  <cp:revision>3</cp:revision>
  <cp:lastPrinted>2024-01-28T14:20:00Z</cp:lastPrinted>
  <dcterms:created xsi:type="dcterms:W3CDTF">2026-05-26T13:40:00Z</dcterms:created>
  <dcterms:modified xsi:type="dcterms:W3CDTF">2026-06-01T06:39:00Z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2026-01-29T09:11:53Z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441f54d7-b566-4d4c-8bcb-f510f94acb02</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