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AFD24" w14:textId="3CA0C76E" w:rsidR="00A36608" w:rsidRPr="00C16A15" w:rsidRDefault="00A36608" w:rsidP="006C0255">
      <w:pPr>
        <w:pStyle w:val="berschrift-H2"/>
        <w:ind w:right="1644"/>
        <w:rPr>
          <w:lang w:val="es-ES"/>
        </w:rPr>
      </w:pPr>
      <w:r w:rsidRPr="002930BD">
        <w:rPr>
          <w:lang w:val="es-ES"/>
        </w:rPr>
        <w:t xml:space="preserve">Rittal simplifica la distribución de </w:t>
      </w:r>
      <w:r w:rsidR="00C16A15" w:rsidRPr="002930BD">
        <w:rPr>
          <w:lang w:val="es-ES"/>
        </w:rPr>
        <w:t>corriente</w:t>
      </w:r>
      <w:r w:rsidRPr="002930BD">
        <w:rPr>
          <w:lang w:val="es-ES"/>
        </w:rPr>
        <w:t xml:space="preserve"> </w:t>
      </w:r>
      <w:r w:rsidR="00C16A15" w:rsidRPr="002930BD">
        <w:rPr>
          <w:lang w:val="es-ES"/>
        </w:rPr>
        <w:t xml:space="preserve">conforme a </w:t>
      </w:r>
      <w:r w:rsidRPr="002930BD">
        <w:rPr>
          <w:lang w:val="es-ES"/>
        </w:rPr>
        <w:t>los estándares estadounidenses</w:t>
      </w:r>
    </w:p>
    <w:p w14:paraId="70BE28AA" w14:textId="29B01EC4" w:rsidR="00A36608" w:rsidRPr="00E72D1E" w:rsidRDefault="002930BD" w:rsidP="00A36608">
      <w:pPr>
        <w:pStyle w:val="berschrift-H1"/>
        <w:rPr>
          <w:color w:val="auto"/>
          <w:lang w:val="es-ES"/>
        </w:rPr>
      </w:pPr>
      <w:r w:rsidRPr="00E72D1E">
        <w:rPr>
          <w:color w:val="auto"/>
          <w:lang w:val="es-ES"/>
        </w:rPr>
        <w:t>Bases p</w:t>
      </w:r>
      <w:r w:rsidR="00A36608" w:rsidRPr="00E72D1E">
        <w:rPr>
          <w:color w:val="auto"/>
          <w:lang w:val="es-ES"/>
        </w:rPr>
        <w:t xml:space="preserve">ortafusibles </w:t>
      </w:r>
      <w:r w:rsidR="00C16A15" w:rsidRPr="00E72D1E">
        <w:rPr>
          <w:color w:val="auto"/>
          <w:lang w:val="es-ES"/>
        </w:rPr>
        <w:t>con certificación</w:t>
      </w:r>
      <w:r w:rsidR="00A36608" w:rsidRPr="00E72D1E">
        <w:rPr>
          <w:color w:val="auto"/>
          <w:lang w:val="es-ES"/>
        </w:rPr>
        <w:t xml:space="preserve"> UL para </w:t>
      </w:r>
      <w:proofErr w:type="spellStart"/>
      <w:r w:rsidR="00A36608" w:rsidRPr="00E72D1E">
        <w:rPr>
          <w:color w:val="auto"/>
          <w:lang w:val="es-ES"/>
        </w:rPr>
        <w:t>RiLineX</w:t>
      </w:r>
      <w:proofErr w:type="spellEnd"/>
    </w:p>
    <w:p w14:paraId="4A2AF2C0" w14:textId="77777777" w:rsidR="00A36608" w:rsidRPr="00C16A15" w:rsidRDefault="00A36608" w:rsidP="00A36608">
      <w:pPr>
        <w:pStyle w:val="Ort-Datum"/>
        <w:rPr>
          <w:lang w:val="es-ES"/>
        </w:rPr>
      </w:pPr>
      <w:r w:rsidRPr="002930BD">
        <w:rPr>
          <w:lang w:val="es-ES"/>
        </w:rPr>
        <w:t>Herborn, 22-04-2026.</w:t>
      </w:r>
    </w:p>
    <w:p w14:paraId="6CAF864A" w14:textId="3FCD2F04" w:rsidR="00A36608" w:rsidRPr="00E72D1E" w:rsidRDefault="00A36608" w:rsidP="00C16A15">
      <w:pPr>
        <w:pStyle w:val="Copytext"/>
        <w:ind w:right="935"/>
        <w:jc w:val="both"/>
        <w:rPr>
          <w:b/>
          <w:bCs w:val="0"/>
          <w:color w:val="auto"/>
          <w:lang w:val="es-ES"/>
        </w:rPr>
      </w:pPr>
      <w:r w:rsidRPr="00E72D1E">
        <w:rPr>
          <w:b/>
          <w:color w:val="auto"/>
          <w:lang w:val="es-ES"/>
        </w:rPr>
        <w:t xml:space="preserve">Rittal ha ampliado aún más su gama del sistema de </w:t>
      </w:r>
      <w:r w:rsidR="00C16A15" w:rsidRPr="00E72D1E">
        <w:rPr>
          <w:b/>
          <w:color w:val="auto"/>
          <w:lang w:val="es-ES"/>
        </w:rPr>
        <w:t>embarrado</w:t>
      </w:r>
      <w:r w:rsidRPr="00E72D1E">
        <w:rPr>
          <w:b/>
          <w:color w:val="auto"/>
          <w:lang w:val="es-ES"/>
        </w:rPr>
        <w:t xml:space="preserve"> </w:t>
      </w:r>
      <w:proofErr w:type="spellStart"/>
      <w:r w:rsidRPr="00E72D1E">
        <w:rPr>
          <w:b/>
          <w:color w:val="auto"/>
          <w:lang w:val="es-ES"/>
        </w:rPr>
        <w:t>RiLineX</w:t>
      </w:r>
      <w:proofErr w:type="spellEnd"/>
      <w:r w:rsidRPr="00E72D1E">
        <w:rPr>
          <w:b/>
          <w:color w:val="auto"/>
          <w:lang w:val="es-ES"/>
        </w:rPr>
        <w:t xml:space="preserve">: los nuevos portafusibles </w:t>
      </w:r>
      <w:r w:rsidR="00C16A15" w:rsidRPr="00E72D1E">
        <w:rPr>
          <w:b/>
          <w:color w:val="auto"/>
          <w:lang w:val="es-ES"/>
        </w:rPr>
        <w:t>con certificación</w:t>
      </w:r>
      <w:r w:rsidRPr="00E72D1E">
        <w:rPr>
          <w:b/>
          <w:color w:val="auto"/>
          <w:lang w:val="es-ES"/>
        </w:rPr>
        <w:t xml:space="preserve"> UL </w:t>
      </w:r>
      <w:r w:rsidR="00C16A15" w:rsidRPr="00E72D1E">
        <w:rPr>
          <w:b/>
          <w:color w:val="auto"/>
          <w:lang w:val="es-ES"/>
        </w:rPr>
        <w:t>permiten diseñar esta plataforma estándar de forma aún más sencilla conforme a los estándares de EE.UU.</w:t>
      </w:r>
      <w:r w:rsidRPr="00E72D1E">
        <w:rPr>
          <w:b/>
          <w:color w:val="auto"/>
          <w:lang w:val="es-ES"/>
        </w:rPr>
        <w:t xml:space="preserve"> Existe una demanda global de estos portafusibles para garantizar que la maquinaria y otros equipos eléctricos cumplan con los requisitos de </w:t>
      </w:r>
      <w:proofErr w:type="spellStart"/>
      <w:r w:rsidRPr="00E72D1E">
        <w:rPr>
          <w:b/>
          <w:color w:val="auto"/>
          <w:lang w:val="es-ES"/>
        </w:rPr>
        <w:t>Underwriters</w:t>
      </w:r>
      <w:proofErr w:type="spellEnd"/>
      <w:r w:rsidRPr="00E72D1E">
        <w:rPr>
          <w:b/>
          <w:color w:val="auto"/>
          <w:lang w:val="es-ES"/>
        </w:rPr>
        <w:t xml:space="preserve"> </w:t>
      </w:r>
      <w:proofErr w:type="spellStart"/>
      <w:r w:rsidRPr="00E72D1E">
        <w:rPr>
          <w:b/>
          <w:color w:val="auto"/>
          <w:lang w:val="es-ES"/>
        </w:rPr>
        <w:t>Laboratories</w:t>
      </w:r>
      <w:proofErr w:type="spellEnd"/>
      <w:r w:rsidRPr="00E72D1E">
        <w:rPr>
          <w:b/>
          <w:color w:val="auto"/>
          <w:lang w:val="es-ES"/>
        </w:rPr>
        <w:t xml:space="preserve"> (UL), un requisito</w:t>
      </w:r>
      <w:r w:rsidR="00C16A15" w:rsidRPr="00E72D1E">
        <w:rPr>
          <w:b/>
          <w:color w:val="auto"/>
          <w:lang w:val="es-ES"/>
        </w:rPr>
        <w:t xml:space="preserve"> indispensable</w:t>
      </w:r>
      <w:r w:rsidRPr="00E72D1E">
        <w:rPr>
          <w:b/>
          <w:color w:val="auto"/>
          <w:lang w:val="es-ES"/>
        </w:rPr>
        <w:t xml:space="preserve"> para su uso en Estados Unidos y en otros sectores que </w:t>
      </w:r>
      <w:r w:rsidR="00C16A15" w:rsidRPr="00E72D1E">
        <w:rPr>
          <w:b/>
          <w:color w:val="auto"/>
          <w:lang w:val="es-ES"/>
        </w:rPr>
        <w:t>se rigen por</w:t>
      </w:r>
      <w:r w:rsidRPr="00E72D1E">
        <w:rPr>
          <w:b/>
          <w:color w:val="auto"/>
          <w:lang w:val="es-ES"/>
        </w:rPr>
        <w:t xml:space="preserve"> </w:t>
      </w:r>
      <w:r w:rsidR="00C16A15" w:rsidRPr="00E72D1E">
        <w:rPr>
          <w:b/>
          <w:color w:val="auto"/>
          <w:lang w:val="es-ES"/>
        </w:rPr>
        <w:t>estas normativas</w:t>
      </w:r>
      <w:r w:rsidRPr="00E72D1E">
        <w:rPr>
          <w:b/>
          <w:color w:val="auto"/>
          <w:lang w:val="es-ES"/>
        </w:rPr>
        <w:t xml:space="preserve">. Con </w:t>
      </w:r>
      <w:r w:rsidR="00C16A15" w:rsidRPr="00E72D1E">
        <w:rPr>
          <w:b/>
          <w:color w:val="auto"/>
          <w:lang w:val="es-ES"/>
        </w:rPr>
        <w:t>l</w:t>
      </w:r>
      <w:r w:rsidR="002930BD" w:rsidRPr="00E72D1E">
        <w:rPr>
          <w:b/>
          <w:color w:val="auto"/>
          <w:lang w:val="es-ES"/>
        </w:rPr>
        <w:t>as bases</w:t>
      </w:r>
      <w:r w:rsidR="00C16A15" w:rsidRPr="00E72D1E">
        <w:rPr>
          <w:b/>
          <w:color w:val="auto"/>
          <w:lang w:val="es-ES"/>
        </w:rPr>
        <w:t xml:space="preserve"> portafusibles para</w:t>
      </w:r>
      <w:r w:rsidRPr="00E72D1E">
        <w:rPr>
          <w:b/>
          <w:color w:val="auto"/>
          <w:lang w:val="es-ES"/>
        </w:rPr>
        <w:t xml:space="preserve"> </w:t>
      </w:r>
      <w:proofErr w:type="spellStart"/>
      <w:r w:rsidRPr="00E72D1E">
        <w:rPr>
          <w:b/>
          <w:color w:val="auto"/>
          <w:lang w:val="es-ES"/>
        </w:rPr>
        <w:t>RiLineX</w:t>
      </w:r>
      <w:proofErr w:type="spellEnd"/>
      <w:r w:rsidRPr="00E72D1E">
        <w:rPr>
          <w:b/>
          <w:color w:val="auto"/>
          <w:lang w:val="es-ES"/>
        </w:rPr>
        <w:t xml:space="preserve">, estos fusibles pueden instalarse en </w:t>
      </w:r>
      <w:r w:rsidR="002930BD" w:rsidRPr="00E72D1E">
        <w:rPr>
          <w:b/>
          <w:color w:val="auto"/>
          <w:lang w:val="es-ES"/>
        </w:rPr>
        <w:t>las bases</w:t>
      </w:r>
      <w:r w:rsidRPr="00E72D1E">
        <w:rPr>
          <w:b/>
          <w:color w:val="auto"/>
          <w:lang w:val="es-ES"/>
        </w:rPr>
        <w:t xml:space="preserve"> sin herramientas, </w:t>
      </w:r>
      <w:r w:rsidR="00C16A15" w:rsidRPr="00E72D1E">
        <w:rPr>
          <w:b/>
          <w:color w:val="auto"/>
          <w:lang w:val="es-ES"/>
        </w:rPr>
        <w:t>con protección</w:t>
      </w:r>
      <w:r w:rsidRPr="00E72D1E">
        <w:rPr>
          <w:b/>
          <w:color w:val="auto"/>
          <w:lang w:val="es-ES"/>
        </w:rPr>
        <w:t xml:space="preserve"> </w:t>
      </w:r>
      <w:r w:rsidR="00C16A15" w:rsidRPr="00E72D1E">
        <w:rPr>
          <w:b/>
          <w:color w:val="auto"/>
          <w:lang w:val="es-ES"/>
        </w:rPr>
        <w:t>frente a</w:t>
      </w:r>
      <w:r w:rsidRPr="00E72D1E">
        <w:rPr>
          <w:b/>
          <w:color w:val="auto"/>
          <w:lang w:val="es-ES"/>
        </w:rPr>
        <w:t xml:space="preserve"> contactos accidentales y sin necesidad de adaptadores adicionales.</w:t>
      </w:r>
    </w:p>
    <w:p w14:paraId="24BFBD38" w14:textId="29A223DC" w:rsidR="00A36608" w:rsidRPr="00E72D1E" w:rsidRDefault="00A36608" w:rsidP="00C16A15">
      <w:pPr>
        <w:pStyle w:val="Copytext-Zwischenberschrift"/>
        <w:ind w:right="935"/>
        <w:jc w:val="both"/>
        <w:rPr>
          <w:b w:val="0"/>
          <w:bCs w:val="0"/>
          <w:color w:val="auto"/>
          <w:lang w:val="es-ES"/>
        </w:rPr>
      </w:pPr>
      <w:r w:rsidRPr="002930BD">
        <w:rPr>
          <w:b w:val="0"/>
          <w:lang w:val="es-ES"/>
        </w:rPr>
        <w:t xml:space="preserve">Rittal, especialista en hardware, software y automatización, está ampliando su gama del sistema de </w:t>
      </w:r>
      <w:r w:rsidR="00C16A15" w:rsidRPr="002930BD">
        <w:rPr>
          <w:b w:val="0"/>
          <w:lang w:val="es-ES"/>
        </w:rPr>
        <w:t>embarrado</w:t>
      </w:r>
      <w:r w:rsidRPr="002930BD">
        <w:rPr>
          <w:b w:val="0"/>
          <w:lang w:val="es-ES"/>
        </w:rPr>
        <w:t xml:space="preserve"> </w:t>
      </w:r>
      <w:proofErr w:type="spellStart"/>
      <w:r w:rsidRPr="002930BD">
        <w:rPr>
          <w:b w:val="0"/>
          <w:lang w:val="es-ES"/>
        </w:rPr>
        <w:t>RiLineX</w:t>
      </w:r>
      <w:proofErr w:type="spellEnd"/>
      <w:r w:rsidRPr="002930BD">
        <w:rPr>
          <w:b w:val="0"/>
          <w:lang w:val="es-ES"/>
        </w:rPr>
        <w:t xml:space="preserve"> con estos portafusibles certificados y </w:t>
      </w:r>
      <w:r w:rsidR="00C16A15" w:rsidRPr="002930BD">
        <w:rPr>
          <w:b w:val="0"/>
          <w:lang w:val="es-ES"/>
        </w:rPr>
        <w:t xml:space="preserve">homologados según </w:t>
      </w:r>
      <w:r w:rsidRPr="002930BD">
        <w:rPr>
          <w:b w:val="0"/>
          <w:lang w:val="es-ES"/>
        </w:rPr>
        <w:t xml:space="preserve">UL. Los portafusibles de tres polos están disponibles </w:t>
      </w:r>
      <w:r w:rsidR="00C16A15" w:rsidRPr="002930BD">
        <w:rPr>
          <w:b w:val="0"/>
          <w:lang w:val="es-ES"/>
        </w:rPr>
        <w:t xml:space="preserve">actualmente </w:t>
      </w:r>
      <w:r w:rsidRPr="002930BD">
        <w:rPr>
          <w:b w:val="0"/>
          <w:lang w:val="es-ES"/>
        </w:rPr>
        <w:t xml:space="preserve">en dos </w:t>
      </w:r>
      <w:r w:rsidR="00C16A15" w:rsidRPr="002930BD">
        <w:rPr>
          <w:b w:val="0"/>
          <w:lang w:val="es-ES"/>
        </w:rPr>
        <w:t>intensidades</w:t>
      </w:r>
      <w:r w:rsidRPr="002930BD">
        <w:rPr>
          <w:b w:val="0"/>
          <w:lang w:val="es-ES"/>
        </w:rPr>
        <w:t xml:space="preserve"> de salida para los tipos</w:t>
      </w:r>
      <w:r w:rsidR="00C16A15" w:rsidRPr="002930BD">
        <w:rPr>
          <w:b w:val="0"/>
          <w:lang w:val="es-ES"/>
        </w:rPr>
        <w:t xml:space="preserve"> de fusibles habituales en </w:t>
      </w:r>
      <w:proofErr w:type="gramStart"/>
      <w:r w:rsidR="00C16A15" w:rsidRPr="002930BD">
        <w:rPr>
          <w:b w:val="0"/>
          <w:lang w:val="es-ES"/>
        </w:rPr>
        <w:t>EE.UU.</w:t>
      </w:r>
      <w:proofErr w:type="gramEnd"/>
      <w:r w:rsidRPr="002930BD">
        <w:rPr>
          <w:b w:val="0"/>
          <w:lang w:val="es-ES"/>
        </w:rPr>
        <w:t>: Clase CC hasta 30 A y Clase J hasta 100 A</w:t>
      </w:r>
      <w:r w:rsidR="00E72D1E">
        <w:rPr>
          <w:b w:val="0"/>
          <w:lang w:val="es-ES"/>
        </w:rPr>
        <w:t>.</w:t>
      </w:r>
      <w:r w:rsidRPr="002930BD">
        <w:rPr>
          <w:b w:val="0"/>
          <w:lang w:val="es-ES"/>
        </w:rPr>
        <w:t xml:space="preserve"> "El cumplimiento </w:t>
      </w:r>
      <w:r w:rsidR="008F51EA" w:rsidRPr="002930BD">
        <w:rPr>
          <w:b w:val="0"/>
          <w:lang w:val="es-ES"/>
        </w:rPr>
        <w:t xml:space="preserve">de la normativa </w:t>
      </w:r>
      <w:r w:rsidRPr="002930BD">
        <w:rPr>
          <w:b w:val="0"/>
          <w:lang w:val="es-ES"/>
        </w:rPr>
        <w:t xml:space="preserve">UL </w:t>
      </w:r>
      <w:r w:rsidR="008F51EA" w:rsidRPr="002930BD">
        <w:rPr>
          <w:b w:val="0"/>
          <w:lang w:val="es-ES"/>
        </w:rPr>
        <w:t xml:space="preserve">no solo es relevante </w:t>
      </w:r>
      <w:r w:rsidRPr="002930BD">
        <w:rPr>
          <w:b w:val="0"/>
          <w:lang w:val="es-ES"/>
        </w:rPr>
        <w:t xml:space="preserve">en el mercado </w:t>
      </w:r>
      <w:r w:rsidR="00C16A15" w:rsidRPr="002930BD">
        <w:rPr>
          <w:b w:val="0"/>
          <w:lang w:val="es-ES"/>
        </w:rPr>
        <w:t>nacional</w:t>
      </w:r>
      <w:r w:rsidRPr="002930BD">
        <w:rPr>
          <w:b w:val="0"/>
          <w:lang w:val="es-ES"/>
        </w:rPr>
        <w:t xml:space="preserve"> estadounidense, sino también desde la perspectiva de prov</w:t>
      </w:r>
      <w:r w:rsidRPr="00E72D1E">
        <w:rPr>
          <w:b w:val="0"/>
          <w:color w:val="auto"/>
          <w:lang w:val="es-ES"/>
        </w:rPr>
        <w:t>eedor</w:t>
      </w:r>
      <w:r w:rsidR="00C16A15" w:rsidRPr="00E72D1E">
        <w:rPr>
          <w:b w:val="0"/>
          <w:color w:val="auto"/>
          <w:lang w:val="es-ES"/>
        </w:rPr>
        <w:t>es</w:t>
      </w:r>
      <w:r w:rsidRPr="00E72D1E">
        <w:rPr>
          <w:b w:val="0"/>
          <w:color w:val="auto"/>
          <w:lang w:val="es-ES"/>
        </w:rPr>
        <w:t xml:space="preserve"> internacional</w:t>
      </w:r>
      <w:r w:rsidR="00C16A15" w:rsidRPr="00E72D1E">
        <w:rPr>
          <w:b w:val="0"/>
          <w:color w:val="auto"/>
          <w:lang w:val="es-ES"/>
        </w:rPr>
        <w:t>es</w:t>
      </w:r>
      <w:r w:rsidRPr="00E72D1E">
        <w:rPr>
          <w:b w:val="0"/>
          <w:color w:val="auto"/>
          <w:lang w:val="es-ES"/>
        </w:rPr>
        <w:t xml:space="preserve">." Nuestros clientes en Europa y Asia operan a un nivel altamente internacional. "Al mismo tiempo, los requisitos técnicos y </w:t>
      </w:r>
      <w:r w:rsidR="00C16A15" w:rsidRPr="00E72D1E">
        <w:rPr>
          <w:b w:val="0"/>
          <w:color w:val="auto"/>
          <w:lang w:val="es-ES"/>
        </w:rPr>
        <w:t>normativos</w:t>
      </w:r>
      <w:r w:rsidRPr="00E72D1E">
        <w:rPr>
          <w:b w:val="0"/>
          <w:color w:val="auto"/>
          <w:lang w:val="es-ES"/>
        </w:rPr>
        <w:t xml:space="preserve"> s</w:t>
      </w:r>
      <w:r w:rsidR="00C16A15" w:rsidRPr="00E72D1E">
        <w:rPr>
          <w:b w:val="0"/>
          <w:color w:val="auto"/>
          <w:lang w:val="es-ES"/>
        </w:rPr>
        <w:t>on cada vez</w:t>
      </w:r>
      <w:r w:rsidRPr="00E72D1E">
        <w:rPr>
          <w:b w:val="0"/>
          <w:color w:val="auto"/>
          <w:lang w:val="es-ES"/>
        </w:rPr>
        <w:t xml:space="preserve"> más complejos", afirma el Dr. Christian Maryska, vicepresidente </w:t>
      </w:r>
      <w:r w:rsidR="00C16A15" w:rsidRPr="00E72D1E">
        <w:rPr>
          <w:b w:val="0"/>
          <w:color w:val="auto"/>
          <w:lang w:val="es-ES"/>
        </w:rPr>
        <w:t xml:space="preserve">de la unidad de negocio Energy &amp; </w:t>
      </w:r>
      <w:proofErr w:type="gramStart"/>
      <w:r w:rsidR="00C16A15" w:rsidRPr="00E72D1E">
        <w:rPr>
          <w:b w:val="0"/>
          <w:color w:val="auto"/>
          <w:lang w:val="es-ES"/>
        </w:rPr>
        <w:t xml:space="preserve">Power  </w:t>
      </w:r>
      <w:proofErr w:type="spellStart"/>
      <w:r w:rsidR="00C16A15" w:rsidRPr="00E72D1E">
        <w:rPr>
          <w:b w:val="0"/>
          <w:color w:val="auto"/>
          <w:lang w:val="es-ES"/>
        </w:rPr>
        <w:t>Solutions</w:t>
      </w:r>
      <w:proofErr w:type="spellEnd"/>
      <w:proofErr w:type="gramEnd"/>
      <w:r w:rsidR="00C16A15" w:rsidRPr="00E72D1E">
        <w:rPr>
          <w:b w:val="0"/>
          <w:color w:val="auto"/>
          <w:lang w:val="es-ES"/>
        </w:rPr>
        <w:t xml:space="preserve"> de</w:t>
      </w:r>
      <w:r w:rsidRPr="00E72D1E">
        <w:rPr>
          <w:b w:val="0"/>
          <w:color w:val="auto"/>
          <w:lang w:val="es-ES"/>
        </w:rPr>
        <w:t xml:space="preserve"> Rittal: "Al desarrollar </w:t>
      </w:r>
      <w:proofErr w:type="spellStart"/>
      <w:r w:rsidRPr="00E72D1E">
        <w:rPr>
          <w:b w:val="0"/>
          <w:color w:val="auto"/>
          <w:lang w:val="es-ES"/>
        </w:rPr>
        <w:t>RiLineX</w:t>
      </w:r>
      <w:proofErr w:type="spellEnd"/>
      <w:r w:rsidRPr="00E72D1E">
        <w:rPr>
          <w:b w:val="0"/>
          <w:color w:val="auto"/>
          <w:lang w:val="es-ES"/>
        </w:rPr>
        <w:t xml:space="preserve">, nuestra máxima prioridad fue facilitar al máximo </w:t>
      </w:r>
      <w:r w:rsidR="002930BD" w:rsidRPr="00E72D1E">
        <w:rPr>
          <w:b w:val="0"/>
          <w:color w:val="auto"/>
          <w:lang w:val="es-ES"/>
        </w:rPr>
        <w:t xml:space="preserve">a los </w:t>
      </w:r>
      <w:proofErr w:type="spellStart"/>
      <w:r w:rsidR="002930BD" w:rsidRPr="00E72D1E">
        <w:rPr>
          <w:b w:val="0"/>
          <w:color w:val="auto"/>
          <w:lang w:val="es-ES"/>
        </w:rPr>
        <w:t>cuadristas</w:t>
      </w:r>
      <w:proofErr w:type="spellEnd"/>
      <w:r w:rsidRPr="00E72D1E">
        <w:rPr>
          <w:b w:val="0"/>
          <w:color w:val="auto"/>
          <w:lang w:val="es-ES"/>
        </w:rPr>
        <w:t xml:space="preserve"> el trabajo con una plataforma flexible y ampliamente </w:t>
      </w:r>
      <w:r w:rsidR="002930BD" w:rsidRPr="00E72D1E">
        <w:rPr>
          <w:b w:val="0"/>
          <w:color w:val="auto"/>
          <w:lang w:val="es-ES"/>
        </w:rPr>
        <w:t>ensayada de acuerdo con las normas</w:t>
      </w:r>
      <w:r w:rsidRPr="00E72D1E">
        <w:rPr>
          <w:b w:val="0"/>
          <w:color w:val="auto"/>
          <w:lang w:val="es-ES"/>
        </w:rPr>
        <w:t xml:space="preserve">." El resultado es un alto nivel de seguridad y fiabilidad gracias a un diseño que cumple con los estándares desde la fase de </w:t>
      </w:r>
      <w:r w:rsidR="00C16A15" w:rsidRPr="00E72D1E">
        <w:rPr>
          <w:b w:val="0"/>
          <w:color w:val="auto"/>
          <w:lang w:val="es-ES"/>
        </w:rPr>
        <w:t>desarrollo</w:t>
      </w:r>
      <w:r w:rsidRPr="00E72D1E">
        <w:rPr>
          <w:b w:val="0"/>
          <w:color w:val="auto"/>
          <w:lang w:val="es-ES"/>
        </w:rPr>
        <w:t xml:space="preserve">, una reducción de la complejidad de la planificación, así como una gestión de </w:t>
      </w:r>
      <w:r w:rsidR="00C16A15" w:rsidRPr="00E72D1E">
        <w:rPr>
          <w:b w:val="0"/>
          <w:color w:val="auto"/>
          <w:lang w:val="es-ES"/>
        </w:rPr>
        <w:t>stock</w:t>
      </w:r>
      <w:r w:rsidRPr="00E72D1E">
        <w:rPr>
          <w:b w:val="0"/>
          <w:color w:val="auto"/>
          <w:lang w:val="es-ES"/>
        </w:rPr>
        <w:t xml:space="preserve"> y procesos de exportación mucho más sencillos debido al mayor uso de componentes estandarizados dentro del sistema modular.</w:t>
      </w:r>
      <w:r w:rsidR="00C16A15" w:rsidRPr="00E72D1E">
        <w:rPr>
          <w:b w:val="0"/>
          <w:color w:val="auto"/>
          <w:lang w:val="es-ES"/>
        </w:rPr>
        <w:t xml:space="preserve"> Todo ello se traduce en</w:t>
      </w:r>
      <w:r w:rsidRPr="00E72D1E">
        <w:rPr>
          <w:b w:val="0"/>
          <w:color w:val="auto"/>
          <w:lang w:val="es-ES"/>
        </w:rPr>
        <w:t xml:space="preserve"> proceso</w:t>
      </w:r>
      <w:r w:rsidR="00C16A15" w:rsidRPr="00E72D1E">
        <w:rPr>
          <w:b w:val="0"/>
          <w:color w:val="auto"/>
          <w:lang w:val="es-ES"/>
        </w:rPr>
        <w:t xml:space="preserve">s más rápidos y eficientes, ahora </w:t>
      </w:r>
      <w:r w:rsidR="002930BD" w:rsidRPr="00E72D1E">
        <w:rPr>
          <w:b w:val="0"/>
          <w:color w:val="auto"/>
          <w:lang w:val="es-ES"/>
        </w:rPr>
        <w:t>también</w:t>
      </w:r>
      <w:r w:rsidRPr="00E72D1E">
        <w:rPr>
          <w:b w:val="0"/>
          <w:color w:val="auto"/>
          <w:lang w:val="es-ES"/>
        </w:rPr>
        <w:t xml:space="preserve"> conforme a UL.</w:t>
      </w:r>
    </w:p>
    <w:p w14:paraId="6ACADC64" w14:textId="7C439F5A" w:rsidR="00A36608" w:rsidRPr="00E72D1E" w:rsidRDefault="00A36608" w:rsidP="00C16A15">
      <w:pPr>
        <w:pStyle w:val="Copytext-Zwischenberschrift"/>
        <w:ind w:right="935"/>
        <w:jc w:val="both"/>
        <w:rPr>
          <w:color w:val="auto"/>
          <w:spacing w:val="-5"/>
          <w:lang w:val="es-ES"/>
        </w:rPr>
      </w:pPr>
      <w:r w:rsidRPr="00E72D1E">
        <w:rPr>
          <w:color w:val="auto"/>
          <w:lang w:val="es-ES"/>
        </w:rPr>
        <w:t xml:space="preserve">Montaje sin herramientas y mayor seguridad </w:t>
      </w:r>
    </w:p>
    <w:p w14:paraId="0375DA5F" w14:textId="2389DCCA" w:rsidR="00A36608" w:rsidRPr="00C16A15" w:rsidRDefault="00A36608" w:rsidP="00C16A15">
      <w:pPr>
        <w:pStyle w:val="Copytext"/>
        <w:ind w:right="935"/>
        <w:jc w:val="both"/>
        <w:rPr>
          <w:lang w:val="es-ES"/>
        </w:rPr>
      </w:pPr>
      <w:r w:rsidRPr="00E72D1E">
        <w:rPr>
          <w:color w:val="auto"/>
          <w:lang w:val="es-ES"/>
        </w:rPr>
        <w:t>Gracias a</w:t>
      </w:r>
      <w:r w:rsidR="00C16A15" w:rsidRPr="00E72D1E">
        <w:rPr>
          <w:color w:val="auto"/>
          <w:lang w:val="es-ES"/>
        </w:rPr>
        <w:t xml:space="preserve"> su</w:t>
      </w:r>
      <w:r w:rsidRPr="00E72D1E">
        <w:rPr>
          <w:color w:val="auto"/>
          <w:lang w:val="es-ES"/>
        </w:rPr>
        <w:t xml:space="preserve"> diseño adaptado a </w:t>
      </w:r>
      <w:proofErr w:type="spellStart"/>
      <w:r w:rsidRPr="00E72D1E">
        <w:rPr>
          <w:color w:val="auto"/>
          <w:lang w:val="es-ES"/>
        </w:rPr>
        <w:t>RiLineX</w:t>
      </w:r>
      <w:proofErr w:type="spellEnd"/>
      <w:r w:rsidRPr="00E72D1E">
        <w:rPr>
          <w:color w:val="auto"/>
          <w:lang w:val="es-ES"/>
        </w:rPr>
        <w:t>, l</w:t>
      </w:r>
      <w:r w:rsidR="002930BD" w:rsidRPr="00E72D1E">
        <w:rPr>
          <w:color w:val="auto"/>
          <w:lang w:val="es-ES"/>
        </w:rPr>
        <w:t>as bases</w:t>
      </w:r>
      <w:r w:rsidRPr="00E72D1E">
        <w:rPr>
          <w:color w:val="auto"/>
          <w:lang w:val="es-ES"/>
        </w:rPr>
        <w:t xml:space="preserve"> portafusibles pueden instalarse de forma especialmente rápida y sencilla. El concepto '</w:t>
      </w:r>
      <w:proofErr w:type="gramStart"/>
      <w:r w:rsidRPr="00E72D1E">
        <w:rPr>
          <w:color w:val="auto"/>
          <w:lang w:val="es-ES"/>
        </w:rPr>
        <w:t>Click</w:t>
      </w:r>
      <w:proofErr w:type="gramEnd"/>
      <w:r w:rsidRPr="00E72D1E">
        <w:rPr>
          <w:color w:val="auto"/>
          <w:lang w:val="es-ES"/>
        </w:rPr>
        <w:t xml:space="preserve"> &amp; Work' de esta innovadora plataforma de </w:t>
      </w:r>
      <w:r w:rsidR="00C16A15" w:rsidRPr="00E72D1E">
        <w:rPr>
          <w:color w:val="auto"/>
          <w:lang w:val="es-ES"/>
        </w:rPr>
        <w:t xml:space="preserve">embarrado </w:t>
      </w:r>
      <w:r w:rsidRPr="00E72D1E">
        <w:rPr>
          <w:color w:val="auto"/>
          <w:lang w:val="es-ES"/>
        </w:rPr>
        <w:t xml:space="preserve">permite </w:t>
      </w:r>
      <w:r w:rsidR="00C16A15" w:rsidRPr="00E72D1E">
        <w:rPr>
          <w:color w:val="auto"/>
          <w:lang w:val="es-ES"/>
        </w:rPr>
        <w:t>una</w:t>
      </w:r>
      <w:r w:rsidRPr="00E72D1E">
        <w:rPr>
          <w:color w:val="auto"/>
          <w:lang w:val="es-ES"/>
        </w:rPr>
        <w:t xml:space="preserve"> instalación hasta un 75</w:t>
      </w:r>
      <w:r w:rsidR="00C16A15" w:rsidRPr="00E72D1E">
        <w:rPr>
          <w:color w:val="auto"/>
          <w:lang w:val="es-ES"/>
        </w:rPr>
        <w:t xml:space="preserve">% </w:t>
      </w:r>
      <w:r w:rsidRPr="00E72D1E">
        <w:rPr>
          <w:color w:val="auto"/>
          <w:lang w:val="es-ES"/>
        </w:rPr>
        <w:t>más rápida que con los sistemas convencionales. El diseño y la construcción de l</w:t>
      </w:r>
      <w:r w:rsidR="002930BD" w:rsidRPr="00E72D1E">
        <w:rPr>
          <w:color w:val="auto"/>
          <w:lang w:val="es-ES"/>
        </w:rPr>
        <w:t xml:space="preserve">as bases </w:t>
      </w:r>
      <w:r w:rsidRPr="00E72D1E">
        <w:rPr>
          <w:color w:val="auto"/>
          <w:lang w:val="es-ES"/>
        </w:rPr>
        <w:t>portafusibles garantizan</w:t>
      </w:r>
      <w:r w:rsidR="00C16A15" w:rsidRPr="00E72D1E">
        <w:rPr>
          <w:color w:val="auto"/>
          <w:lang w:val="es-ES"/>
        </w:rPr>
        <w:t xml:space="preserve"> además</w:t>
      </w:r>
      <w:r w:rsidRPr="00E72D1E">
        <w:rPr>
          <w:color w:val="auto"/>
          <w:lang w:val="es-ES"/>
        </w:rPr>
        <w:t xml:space="preserve"> un alto nivel de seguridad </w:t>
      </w:r>
      <w:r w:rsidRPr="00E72D1E">
        <w:rPr>
          <w:color w:val="auto"/>
          <w:lang w:val="es-ES"/>
        </w:rPr>
        <w:lastRenderedPageBreak/>
        <w:t xml:space="preserve">laboral. </w:t>
      </w:r>
      <w:r w:rsidR="002930BD" w:rsidRPr="00E72D1E">
        <w:rPr>
          <w:color w:val="auto"/>
          <w:lang w:val="es-ES"/>
        </w:rPr>
        <w:t>U</w:t>
      </w:r>
      <w:r w:rsidRPr="00E72D1E">
        <w:rPr>
          <w:color w:val="auto"/>
          <w:lang w:val="es-ES"/>
        </w:rPr>
        <w:t xml:space="preserve">na vez que el interruptor está completamente cerrado, el diseño garantiza que no haya </w:t>
      </w:r>
      <w:r w:rsidR="002930BD" w:rsidRPr="00E72D1E">
        <w:rPr>
          <w:color w:val="auto"/>
          <w:lang w:val="es-ES"/>
        </w:rPr>
        <w:t>tensión</w:t>
      </w:r>
      <w:r w:rsidRPr="00E72D1E">
        <w:rPr>
          <w:color w:val="auto"/>
          <w:lang w:val="es-ES"/>
        </w:rPr>
        <w:t xml:space="preserve"> mientras se colocan o retiran los fusibles. Además, los conectores eléctricos están protegidos contra el contacto accidental incluso cuando la tapa está abierta.</w:t>
      </w:r>
    </w:p>
    <w:p w14:paraId="5B4733AB" w14:textId="77777777" w:rsidR="00A36608" w:rsidRPr="00C16A15" w:rsidRDefault="00A36608" w:rsidP="00A36608">
      <w:pPr>
        <w:pStyle w:val="Copytext"/>
        <w:jc w:val="both"/>
        <w:rPr>
          <w:lang w:val="es-ES"/>
        </w:rPr>
      </w:pPr>
    </w:p>
    <w:p w14:paraId="55961A0F" w14:textId="415233FC" w:rsidR="00A36608" w:rsidRPr="00E72D1E" w:rsidRDefault="00A36608" w:rsidP="00C16A15">
      <w:pPr>
        <w:pStyle w:val="Copytext"/>
        <w:ind w:right="935"/>
        <w:jc w:val="both"/>
        <w:rPr>
          <w:color w:val="auto"/>
          <w:lang w:val="es-ES"/>
        </w:rPr>
      </w:pPr>
      <w:r w:rsidRPr="00E72D1E">
        <w:rPr>
          <w:color w:val="auto"/>
          <w:lang w:val="es-ES"/>
        </w:rPr>
        <w:t>¿Cómo se consigue es</w:t>
      </w:r>
      <w:r w:rsidR="00C16A15" w:rsidRPr="00E72D1E">
        <w:rPr>
          <w:color w:val="auto"/>
          <w:lang w:val="es-ES"/>
        </w:rPr>
        <w:t>t</w:t>
      </w:r>
      <w:r w:rsidRPr="00E72D1E">
        <w:rPr>
          <w:color w:val="auto"/>
          <w:lang w:val="es-ES"/>
        </w:rPr>
        <w:t xml:space="preserve">o? En el caso de </w:t>
      </w:r>
      <w:r w:rsidR="00C16A15" w:rsidRPr="00E72D1E">
        <w:rPr>
          <w:color w:val="auto"/>
          <w:lang w:val="es-ES"/>
        </w:rPr>
        <w:t>l</w:t>
      </w:r>
      <w:r w:rsidR="002930BD" w:rsidRPr="00E72D1E">
        <w:rPr>
          <w:color w:val="auto"/>
          <w:lang w:val="es-ES"/>
        </w:rPr>
        <w:t>as bases</w:t>
      </w:r>
      <w:r w:rsidR="00C16A15" w:rsidRPr="00E72D1E">
        <w:rPr>
          <w:color w:val="auto"/>
          <w:lang w:val="es-ES"/>
        </w:rPr>
        <w:t xml:space="preserve"> </w:t>
      </w:r>
      <w:r w:rsidRPr="00E72D1E">
        <w:rPr>
          <w:color w:val="auto"/>
          <w:lang w:val="es-ES"/>
        </w:rPr>
        <w:t xml:space="preserve">portafusibles </w:t>
      </w:r>
      <w:r w:rsidR="00C16A15" w:rsidRPr="00E72D1E">
        <w:rPr>
          <w:color w:val="auto"/>
          <w:lang w:val="es-ES"/>
        </w:rPr>
        <w:t xml:space="preserve">de </w:t>
      </w:r>
      <w:r w:rsidRPr="00E72D1E">
        <w:rPr>
          <w:color w:val="auto"/>
          <w:lang w:val="es-ES"/>
        </w:rPr>
        <w:t xml:space="preserve">mayor tamaño, </w:t>
      </w:r>
      <w:r w:rsidR="00C16A15" w:rsidRPr="00E72D1E">
        <w:rPr>
          <w:color w:val="auto"/>
          <w:lang w:val="es-ES"/>
        </w:rPr>
        <w:t xml:space="preserve">tipo Clase J de </w:t>
      </w:r>
      <w:r w:rsidRPr="00E72D1E">
        <w:rPr>
          <w:color w:val="auto"/>
          <w:lang w:val="es-ES"/>
        </w:rPr>
        <w:t xml:space="preserve">hasta 100 A, los fusibles se insertan en un soporte </w:t>
      </w:r>
      <w:r w:rsidR="00C16A15" w:rsidRPr="00E72D1E">
        <w:rPr>
          <w:color w:val="auto"/>
          <w:lang w:val="es-ES"/>
        </w:rPr>
        <w:t>situado en</w:t>
      </w:r>
      <w:r w:rsidRPr="00E72D1E">
        <w:rPr>
          <w:color w:val="auto"/>
          <w:lang w:val="es-ES"/>
        </w:rPr>
        <w:t xml:space="preserve"> la tapa y solo se </w:t>
      </w:r>
      <w:r w:rsidR="00C16A15" w:rsidRPr="00E72D1E">
        <w:rPr>
          <w:color w:val="auto"/>
          <w:lang w:val="es-ES"/>
        </w:rPr>
        <w:t>fijan</w:t>
      </w:r>
      <w:r w:rsidRPr="00E72D1E">
        <w:rPr>
          <w:color w:val="auto"/>
          <w:lang w:val="es-ES"/>
        </w:rPr>
        <w:t xml:space="preserve"> en</w:t>
      </w:r>
      <w:r w:rsidR="00C16A15" w:rsidRPr="00E72D1E">
        <w:rPr>
          <w:color w:val="auto"/>
          <w:lang w:val="es-ES"/>
        </w:rPr>
        <w:t xml:space="preserve"> su</w:t>
      </w:r>
      <w:r w:rsidRPr="00E72D1E">
        <w:rPr>
          <w:color w:val="auto"/>
          <w:lang w:val="es-ES"/>
        </w:rPr>
        <w:t xml:space="preserve"> posición cuando </w:t>
      </w:r>
      <w:r w:rsidR="00C16A15" w:rsidRPr="00E72D1E">
        <w:rPr>
          <w:color w:val="auto"/>
          <w:lang w:val="es-ES"/>
        </w:rPr>
        <w:t>se cierra la tapa</w:t>
      </w:r>
      <w:r w:rsidRPr="00E72D1E">
        <w:rPr>
          <w:color w:val="auto"/>
          <w:lang w:val="es-ES"/>
        </w:rPr>
        <w:t xml:space="preserve">; esto significa que el circuito </w:t>
      </w:r>
      <w:r w:rsidR="002930BD" w:rsidRPr="00E72D1E">
        <w:rPr>
          <w:color w:val="auto"/>
          <w:lang w:val="es-ES"/>
        </w:rPr>
        <w:t>solo se cierra</w:t>
      </w:r>
      <w:r w:rsidRPr="00E72D1E">
        <w:rPr>
          <w:color w:val="auto"/>
          <w:lang w:val="es-ES"/>
        </w:rPr>
        <w:t xml:space="preserve"> una vez que la tapa está </w:t>
      </w:r>
      <w:r w:rsidR="002930BD" w:rsidRPr="00E72D1E">
        <w:rPr>
          <w:color w:val="auto"/>
          <w:lang w:val="es-ES"/>
        </w:rPr>
        <w:t>colocada en su sitio</w:t>
      </w:r>
      <w:r w:rsidRPr="00E72D1E">
        <w:rPr>
          <w:color w:val="auto"/>
          <w:lang w:val="es-ES"/>
        </w:rPr>
        <w:t xml:space="preserve">. Esta característica permite un </w:t>
      </w:r>
      <w:r w:rsidR="00C16A15" w:rsidRPr="00E72D1E">
        <w:rPr>
          <w:color w:val="auto"/>
          <w:lang w:val="es-ES"/>
        </w:rPr>
        <w:t>manejo</w:t>
      </w:r>
      <w:r w:rsidRPr="00E72D1E">
        <w:rPr>
          <w:color w:val="auto"/>
          <w:lang w:val="es-ES"/>
        </w:rPr>
        <w:t xml:space="preserve"> sin herramientas, proporciona protección contra contactos accidentales y garantiza que el circuito se desconecte automáticamente al abrir la tapa y al insertar o </w:t>
      </w:r>
      <w:r w:rsidR="00C16A15" w:rsidRPr="00E72D1E">
        <w:rPr>
          <w:color w:val="auto"/>
          <w:lang w:val="es-ES"/>
        </w:rPr>
        <w:t>extraer</w:t>
      </w:r>
      <w:r w:rsidRPr="00E72D1E">
        <w:rPr>
          <w:color w:val="auto"/>
          <w:lang w:val="es-ES"/>
        </w:rPr>
        <w:t xml:space="preserve"> los fusibles. Cuando la tapa está abierta, los contactos eléctricos están </w:t>
      </w:r>
      <w:r w:rsidR="00C16A15" w:rsidRPr="00E72D1E">
        <w:rPr>
          <w:color w:val="auto"/>
          <w:lang w:val="es-ES"/>
        </w:rPr>
        <w:t>retraídos</w:t>
      </w:r>
      <w:r w:rsidRPr="00E72D1E">
        <w:rPr>
          <w:color w:val="auto"/>
          <w:lang w:val="es-ES"/>
        </w:rPr>
        <w:t xml:space="preserve"> de tal </w:t>
      </w:r>
      <w:r w:rsidR="00C16A15" w:rsidRPr="00E72D1E">
        <w:rPr>
          <w:color w:val="auto"/>
          <w:lang w:val="es-ES"/>
        </w:rPr>
        <w:t>forma</w:t>
      </w:r>
      <w:r w:rsidRPr="00E72D1E">
        <w:rPr>
          <w:color w:val="auto"/>
          <w:lang w:val="es-ES"/>
        </w:rPr>
        <w:t xml:space="preserve"> que el contacto accidental es prácticamente imposible. Los portafusibles más </w:t>
      </w:r>
      <w:r w:rsidR="00C16A15" w:rsidRPr="00E72D1E">
        <w:rPr>
          <w:color w:val="auto"/>
          <w:lang w:val="es-ES"/>
        </w:rPr>
        <w:t>compactos</w:t>
      </w:r>
      <w:r w:rsidRPr="00E72D1E">
        <w:rPr>
          <w:color w:val="auto"/>
          <w:lang w:val="es-ES"/>
        </w:rPr>
        <w:t xml:space="preserve">, </w:t>
      </w:r>
      <w:r w:rsidR="00C16A15" w:rsidRPr="00E72D1E">
        <w:rPr>
          <w:color w:val="auto"/>
          <w:lang w:val="es-ES"/>
        </w:rPr>
        <w:t>de</w:t>
      </w:r>
      <w:r w:rsidRPr="00E72D1E">
        <w:rPr>
          <w:color w:val="auto"/>
          <w:lang w:val="es-ES"/>
        </w:rPr>
        <w:t xml:space="preserve"> 18 mm de ancho y diseñados para fusibles de Clase CC de hasta 30 A, garantizan la seguridad mediante pestillos que desconectan automáticamente el circuito y cubren los contactos eléctricos al abrirse. El </w:t>
      </w:r>
      <w:r w:rsidR="00C16A15" w:rsidRPr="00E72D1E">
        <w:rPr>
          <w:color w:val="auto"/>
          <w:lang w:val="es-ES"/>
        </w:rPr>
        <w:t>portafusibles</w:t>
      </w:r>
      <w:r w:rsidRPr="00E72D1E">
        <w:rPr>
          <w:color w:val="auto"/>
          <w:lang w:val="es-ES"/>
        </w:rPr>
        <w:t xml:space="preserve"> Clase CC también está disponible en una versión con monitorización electrónica</w:t>
      </w:r>
      <w:r w:rsidR="00C16A15" w:rsidRPr="00E72D1E">
        <w:rPr>
          <w:color w:val="auto"/>
          <w:lang w:val="es-ES"/>
        </w:rPr>
        <w:t xml:space="preserve"> de fusibles</w:t>
      </w:r>
      <w:r w:rsidRPr="00E72D1E">
        <w:rPr>
          <w:color w:val="auto"/>
          <w:lang w:val="es-ES"/>
        </w:rPr>
        <w:t xml:space="preserve"> integrada, </w:t>
      </w:r>
      <w:r w:rsidR="00C16A15" w:rsidRPr="00E72D1E">
        <w:rPr>
          <w:color w:val="auto"/>
          <w:lang w:val="es-ES"/>
        </w:rPr>
        <w:t>lo que incrementa el</w:t>
      </w:r>
      <w:r w:rsidRPr="00E72D1E">
        <w:rPr>
          <w:color w:val="auto"/>
          <w:lang w:val="es-ES"/>
        </w:rPr>
        <w:t xml:space="preserve"> anch</w:t>
      </w:r>
      <w:r w:rsidR="00C16A15" w:rsidRPr="00E72D1E">
        <w:rPr>
          <w:color w:val="auto"/>
          <w:lang w:val="es-ES"/>
        </w:rPr>
        <w:t>o</w:t>
      </w:r>
      <w:r w:rsidRPr="00E72D1E">
        <w:rPr>
          <w:color w:val="auto"/>
          <w:lang w:val="es-ES"/>
        </w:rPr>
        <w:t xml:space="preserve"> de la unidad en solo 9 </w:t>
      </w:r>
      <w:proofErr w:type="spellStart"/>
      <w:r w:rsidRPr="00E72D1E">
        <w:rPr>
          <w:color w:val="auto"/>
          <w:lang w:val="es-ES"/>
        </w:rPr>
        <w:t>mm.</w:t>
      </w:r>
      <w:proofErr w:type="spellEnd"/>
      <w:r w:rsidRPr="00E72D1E">
        <w:rPr>
          <w:color w:val="auto"/>
          <w:lang w:val="es-ES"/>
        </w:rPr>
        <w:t xml:space="preserve"> </w:t>
      </w:r>
      <w:r w:rsidR="00C16A15" w:rsidRPr="00E72D1E">
        <w:rPr>
          <w:color w:val="auto"/>
          <w:lang w:val="es-ES"/>
        </w:rPr>
        <w:t>«Gracias a la rápida detección de un fusible defectuoso, un técnico de mantenimiento puede restablecer el suministro eléctrico con mucha mayor rapidez y, de este modo, reducir los tiempos de parada»</w:t>
      </w:r>
      <w:r w:rsidRPr="00E72D1E">
        <w:rPr>
          <w:color w:val="auto"/>
          <w:lang w:val="es-ES"/>
        </w:rPr>
        <w:t xml:space="preserve">, añade Volker Schmidt, </w:t>
      </w:r>
      <w:r w:rsidR="00C16A15" w:rsidRPr="00E72D1E">
        <w:rPr>
          <w:color w:val="auto"/>
          <w:lang w:val="es-ES"/>
        </w:rPr>
        <w:t xml:space="preserve">responsable de </w:t>
      </w:r>
      <w:proofErr w:type="spellStart"/>
      <w:r w:rsidR="00C16A15" w:rsidRPr="00E72D1E">
        <w:rPr>
          <w:color w:val="auto"/>
          <w:lang w:val="es-ES"/>
        </w:rPr>
        <w:t>Product</w:t>
      </w:r>
      <w:proofErr w:type="spellEnd"/>
      <w:r w:rsidR="00C16A15" w:rsidRPr="00E72D1E">
        <w:rPr>
          <w:color w:val="auto"/>
          <w:lang w:val="es-ES"/>
        </w:rPr>
        <w:t xml:space="preserve"> Management </w:t>
      </w:r>
      <w:proofErr w:type="spellStart"/>
      <w:r w:rsidR="00C16A15" w:rsidRPr="00E72D1E">
        <w:rPr>
          <w:color w:val="auto"/>
          <w:lang w:val="es-ES"/>
        </w:rPr>
        <w:t>RiLine</w:t>
      </w:r>
      <w:proofErr w:type="spellEnd"/>
      <w:r w:rsidR="00C16A15" w:rsidRPr="00E72D1E">
        <w:rPr>
          <w:color w:val="auto"/>
          <w:lang w:val="es-ES"/>
        </w:rPr>
        <w:t xml:space="preserve"> </w:t>
      </w:r>
      <w:r w:rsidRPr="00E72D1E">
        <w:rPr>
          <w:color w:val="auto"/>
          <w:lang w:val="es-ES"/>
        </w:rPr>
        <w:t>en Rittal.</w:t>
      </w:r>
    </w:p>
    <w:p w14:paraId="7A72A3B6" w14:textId="77777777" w:rsidR="00A36608" w:rsidRPr="00C16A15" w:rsidRDefault="00A36608" w:rsidP="00C16A15">
      <w:pPr>
        <w:widowControl/>
        <w:autoSpaceDE/>
        <w:autoSpaceDN/>
        <w:adjustRightInd/>
        <w:spacing w:after="200" w:line="0" w:lineRule="auto"/>
        <w:ind w:right="935"/>
        <w:rPr>
          <w:bCs/>
          <w:color w:val="000000" w:themeColor="text1"/>
          <w:sz w:val="20"/>
          <w:szCs w:val="20"/>
          <w:lang w:val="es-ES"/>
        </w:rPr>
      </w:pPr>
      <w:r w:rsidRPr="002930BD">
        <w:rPr>
          <w:lang w:val="es-ES"/>
        </w:rPr>
        <w:br w:type="page"/>
      </w:r>
    </w:p>
    <w:p w14:paraId="1AFF7D66" w14:textId="522E9FD4" w:rsidR="00A36608" w:rsidRPr="00C16A15" w:rsidRDefault="00A36608" w:rsidP="00A36608">
      <w:pPr>
        <w:pStyle w:val="Copytext"/>
        <w:jc w:val="both"/>
        <w:rPr>
          <w:lang w:val="es-ES"/>
        </w:rPr>
      </w:pPr>
    </w:p>
    <w:p w14:paraId="567A6455" w14:textId="38594BAF" w:rsidR="00A36608" w:rsidRPr="00C16A15" w:rsidRDefault="00A36608" w:rsidP="00A36608">
      <w:pPr>
        <w:pStyle w:val="Copytext"/>
        <w:jc w:val="both"/>
        <w:rPr>
          <w:lang w:val="es-ES"/>
        </w:rPr>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A36608" w:rsidRPr="002930BD" w14:paraId="440D74D3" w14:textId="77777777" w:rsidTr="00071DE2">
        <w:trPr>
          <w:trHeight w:hRule="exact" w:val="2494"/>
        </w:trPr>
        <w:tc>
          <w:tcPr>
            <w:tcW w:w="3685" w:type="dxa"/>
            <w:tcMar>
              <w:left w:w="0" w:type="dxa"/>
              <w:right w:w="0" w:type="dxa"/>
            </w:tcMar>
            <w:vAlign w:val="bottom"/>
          </w:tcPr>
          <w:p w14:paraId="3067E626" w14:textId="313D7F3C" w:rsidR="00A36608" w:rsidRPr="00C16A15" w:rsidRDefault="00A36608" w:rsidP="00071DE2">
            <w:pPr>
              <w:pStyle w:val="Bu-Bildanker"/>
              <w:rPr>
                <w:lang w:val="es-ES"/>
              </w:rPr>
            </w:pPr>
            <w:r>
              <w:rPr>
                <w:noProof/>
              </w:rPr>
              <w:drawing>
                <wp:anchor distT="0" distB="0" distL="114300" distR="114300" simplePos="0" relativeHeight="251659264" behindDoc="0" locked="0" layoutInCell="1" allowOverlap="1" wp14:anchorId="5CB77673" wp14:editId="6D9AC52C">
                  <wp:simplePos x="0" y="0"/>
                  <wp:positionH relativeFrom="column">
                    <wp:posOffset>10160</wp:posOffset>
                  </wp:positionH>
                  <wp:positionV relativeFrom="paragraph">
                    <wp:posOffset>-929005</wp:posOffset>
                  </wp:positionV>
                  <wp:extent cx="1892300" cy="1732915"/>
                  <wp:effectExtent l="0" t="0" r="0" b="635"/>
                  <wp:wrapNone/>
                  <wp:docPr id="1580143445" name="Grafik 1" descr="Una imagen que contiene máquina.&#10;&#10;El contenido generado por IA puede ser ines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143445" name="Grafik 1" descr="Ein Bild, das Maschine enthält.&#10;&#10;KI-generierte Inhalte können fehlerhaft sein."/>
                          <pic:cNvPicPr/>
                        </pic:nvPicPr>
                        <pic:blipFill rotWithShape="1">
                          <a:blip r:embed="rId11"/>
                          <a:srcRect r="25049"/>
                          <a:stretch/>
                        </pic:blipFill>
                        <pic:spPr bwMode="auto">
                          <a:xfrm>
                            <a:off x="0" y="0"/>
                            <a:ext cx="1892300" cy="1732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1CF50E68" w14:textId="19C2CE79" w:rsidR="00A36608" w:rsidRPr="00C16A15" w:rsidRDefault="00A36608" w:rsidP="00071DE2">
            <w:pPr>
              <w:pStyle w:val="Bu-Bildanker"/>
              <w:rPr>
                <w:lang w:val="es-ES"/>
              </w:rPr>
            </w:pPr>
          </w:p>
        </w:tc>
        <w:tc>
          <w:tcPr>
            <w:tcW w:w="3685" w:type="dxa"/>
            <w:tcMar>
              <w:left w:w="0" w:type="dxa"/>
              <w:right w:w="0" w:type="dxa"/>
            </w:tcMar>
          </w:tcPr>
          <w:p w14:paraId="00367404" w14:textId="3DBDA0A4" w:rsidR="00A36608" w:rsidRPr="00C16A15" w:rsidRDefault="00875457" w:rsidP="00071DE2">
            <w:pPr>
              <w:pStyle w:val="Bu-Bildanker"/>
              <w:rPr>
                <w:lang w:val="es-ES"/>
              </w:rPr>
            </w:pPr>
            <w:r>
              <w:rPr>
                <w:noProof/>
              </w:rPr>
              <w:drawing>
                <wp:anchor distT="0" distB="0" distL="114300" distR="114300" simplePos="0" relativeHeight="251661312" behindDoc="0" locked="0" layoutInCell="1" allowOverlap="1" wp14:anchorId="4FD3B1DD" wp14:editId="06900FC1">
                  <wp:simplePos x="0" y="0"/>
                  <wp:positionH relativeFrom="column">
                    <wp:posOffset>16510</wp:posOffset>
                  </wp:positionH>
                  <wp:positionV relativeFrom="paragraph">
                    <wp:posOffset>-95565</wp:posOffset>
                  </wp:positionV>
                  <wp:extent cx="2344903" cy="1598966"/>
                  <wp:effectExtent l="0" t="0" r="0" b="1270"/>
                  <wp:wrapNone/>
                  <wp:docPr id="115006050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44903" cy="1598966"/>
                          </a:xfrm>
                          <a:prstGeom prst="rect">
                            <a:avLst/>
                          </a:prstGeom>
                          <a:noFill/>
                        </pic:spPr>
                      </pic:pic>
                    </a:graphicData>
                  </a:graphic>
                  <wp14:sizeRelH relativeFrom="margin">
                    <wp14:pctWidth>0</wp14:pctWidth>
                  </wp14:sizeRelH>
                  <wp14:sizeRelV relativeFrom="margin">
                    <wp14:pctHeight>0</wp14:pctHeight>
                  </wp14:sizeRelV>
                </wp:anchor>
              </w:drawing>
            </w:r>
          </w:p>
        </w:tc>
      </w:tr>
      <w:tr w:rsidR="00A36608" w:rsidRPr="002930BD" w14:paraId="0962FE5F" w14:textId="77777777" w:rsidTr="00071DE2">
        <w:tc>
          <w:tcPr>
            <w:tcW w:w="3685" w:type="dxa"/>
            <w:tcMar>
              <w:left w:w="0" w:type="dxa"/>
              <w:right w:w="0" w:type="dxa"/>
            </w:tcMar>
          </w:tcPr>
          <w:p w14:paraId="5347A569" w14:textId="77777777" w:rsidR="00A36608" w:rsidRPr="00C16A15" w:rsidRDefault="00A36608" w:rsidP="00071DE2">
            <w:pPr>
              <w:pStyle w:val="BU-Head"/>
              <w:rPr>
                <w:lang w:val="es-ES"/>
              </w:rPr>
            </w:pPr>
            <w:r w:rsidRPr="002930BD">
              <w:rPr>
                <w:lang w:val="es-ES"/>
              </w:rPr>
              <w:t>Imagen 1</w:t>
            </w:r>
          </w:p>
          <w:p w14:paraId="133D0920" w14:textId="43330D54" w:rsidR="008F51EA" w:rsidRPr="008F51EA" w:rsidRDefault="008F51EA" w:rsidP="008F51EA">
            <w:pPr>
              <w:pStyle w:val="BU"/>
              <w:rPr>
                <w:lang w:val="es-ES"/>
              </w:rPr>
            </w:pPr>
            <w:r w:rsidRPr="008F51EA">
              <w:rPr>
                <w:lang w:val="es-ES"/>
              </w:rPr>
              <w:t xml:space="preserve">Montaje de fusibles sin herramientas, rápido y directo en el sistema de embarrado </w:t>
            </w:r>
            <w:proofErr w:type="spellStart"/>
            <w:r w:rsidRPr="008F51EA">
              <w:rPr>
                <w:lang w:val="es-ES"/>
              </w:rPr>
              <w:t>RiLineX</w:t>
            </w:r>
            <w:proofErr w:type="spellEnd"/>
            <w:r w:rsidRPr="008F51EA">
              <w:rPr>
                <w:lang w:val="es-ES"/>
              </w:rPr>
              <w:t>: nuevos portafusibles de Rittal certificados y homologados UL</w:t>
            </w:r>
            <w:r>
              <w:rPr>
                <w:lang w:val="es-ES"/>
              </w:rPr>
              <w:t xml:space="preserve">. En la imagen se muestran </w:t>
            </w:r>
            <w:r w:rsidRPr="008F51EA">
              <w:rPr>
                <w:lang w:val="es-ES"/>
              </w:rPr>
              <w:t>fusibles de clase J hasta 100 A.</w:t>
            </w:r>
          </w:p>
          <w:p w14:paraId="7EA17E70" w14:textId="2F6D680A" w:rsidR="00A36608" w:rsidRPr="00C16A15" w:rsidRDefault="00A36608" w:rsidP="00071DE2">
            <w:pPr>
              <w:pStyle w:val="BU"/>
              <w:rPr>
                <w:spacing w:val="-5"/>
                <w:lang w:val="es-ES"/>
              </w:rPr>
            </w:pPr>
          </w:p>
        </w:tc>
        <w:tc>
          <w:tcPr>
            <w:tcW w:w="283" w:type="dxa"/>
            <w:tcMar>
              <w:left w:w="0" w:type="dxa"/>
              <w:right w:w="0" w:type="dxa"/>
            </w:tcMar>
          </w:tcPr>
          <w:p w14:paraId="147C91F7" w14:textId="09B965D4" w:rsidR="00A36608" w:rsidRPr="00C16A15" w:rsidRDefault="00A36608" w:rsidP="00071DE2">
            <w:pPr>
              <w:pStyle w:val="Copytext"/>
              <w:rPr>
                <w:lang w:val="es-ES"/>
              </w:rPr>
            </w:pPr>
          </w:p>
        </w:tc>
        <w:tc>
          <w:tcPr>
            <w:tcW w:w="3685" w:type="dxa"/>
            <w:tcMar>
              <w:left w:w="0" w:type="dxa"/>
              <w:right w:w="0" w:type="dxa"/>
            </w:tcMar>
          </w:tcPr>
          <w:p w14:paraId="09F86D34" w14:textId="714059F8" w:rsidR="00A36608" w:rsidRPr="00C16A15" w:rsidRDefault="00A36608" w:rsidP="00071DE2">
            <w:pPr>
              <w:pStyle w:val="BU-Head"/>
              <w:rPr>
                <w:lang w:val="es-ES"/>
              </w:rPr>
            </w:pPr>
            <w:r w:rsidRPr="002930BD">
              <w:rPr>
                <w:lang w:val="es-ES"/>
              </w:rPr>
              <w:t>Imagen 2</w:t>
            </w:r>
          </w:p>
          <w:p w14:paraId="1A820769" w14:textId="1BC9BBC8" w:rsidR="00A36608" w:rsidRPr="00C16A15" w:rsidRDefault="002D3CA2" w:rsidP="00071DE2">
            <w:pPr>
              <w:pStyle w:val="BU"/>
              <w:rPr>
                <w:lang w:val="es-ES"/>
              </w:rPr>
            </w:pPr>
            <w:r w:rsidRPr="002930BD">
              <w:rPr>
                <w:lang w:val="es-ES"/>
              </w:rPr>
              <w:t xml:space="preserve">Dr. Christian Maryska, </w:t>
            </w:r>
            <w:proofErr w:type="gramStart"/>
            <w:r w:rsidRPr="002930BD">
              <w:rPr>
                <w:lang w:val="es-ES"/>
              </w:rPr>
              <w:t>Vicepresidente</w:t>
            </w:r>
            <w:proofErr w:type="gramEnd"/>
            <w:r w:rsidRPr="002930BD">
              <w:rPr>
                <w:lang w:val="es-ES"/>
              </w:rPr>
              <w:t xml:space="preserve"> de</w:t>
            </w:r>
            <w:r w:rsidR="008F51EA" w:rsidRPr="002930BD">
              <w:rPr>
                <w:lang w:val="es-ES"/>
              </w:rPr>
              <w:t xml:space="preserve"> la unidad de negocio Energy &amp; Power </w:t>
            </w:r>
            <w:proofErr w:type="spellStart"/>
            <w:r w:rsidR="008F51EA" w:rsidRPr="002930BD">
              <w:rPr>
                <w:lang w:val="es-ES"/>
              </w:rPr>
              <w:t>Solutions</w:t>
            </w:r>
            <w:proofErr w:type="spellEnd"/>
            <w:r w:rsidR="008F51EA" w:rsidRPr="002930BD">
              <w:rPr>
                <w:lang w:val="es-ES"/>
              </w:rPr>
              <w:t xml:space="preserve"> de</w:t>
            </w:r>
            <w:r w:rsidRPr="002930BD">
              <w:rPr>
                <w:lang w:val="es-ES"/>
              </w:rPr>
              <w:t xml:space="preserve"> Rittal: "El cumplimiento de </w:t>
            </w:r>
            <w:r w:rsidR="008F51EA" w:rsidRPr="002930BD">
              <w:rPr>
                <w:lang w:val="es-ES"/>
              </w:rPr>
              <w:t xml:space="preserve">la normativa </w:t>
            </w:r>
            <w:r w:rsidRPr="002930BD">
              <w:rPr>
                <w:lang w:val="es-ES"/>
              </w:rPr>
              <w:t xml:space="preserve">UL </w:t>
            </w:r>
            <w:r w:rsidR="008F51EA" w:rsidRPr="002930BD">
              <w:rPr>
                <w:lang w:val="es-ES"/>
              </w:rPr>
              <w:t xml:space="preserve">no solo es relevante </w:t>
            </w:r>
            <w:r w:rsidRPr="002930BD">
              <w:rPr>
                <w:lang w:val="es-ES"/>
              </w:rPr>
              <w:t xml:space="preserve">en el mercado nacional estadounidense, sino también desde la perspectiva de </w:t>
            </w:r>
            <w:r w:rsidR="008F51EA" w:rsidRPr="002930BD">
              <w:rPr>
                <w:lang w:val="es-ES"/>
              </w:rPr>
              <w:t>los</w:t>
            </w:r>
            <w:r w:rsidRPr="002930BD">
              <w:rPr>
                <w:lang w:val="es-ES"/>
              </w:rPr>
              <w:t xml:space="preserve"> proveedor</w:t>
            </w:r>
            <w:r w:rsidR="008F51EA" w:rsidRPr="002930BD">
              <w:rPr>
                <w:lang w:val="es-ES"/>
              </w:rPr>
              <w:t>es</w:t>
            </w:r>
            <w:r w:rsidRPr="002930BD">
              <w:rPr>
                <w:lang w:val="es-ES"/>
              </w:rPr>
              <w:t xml:space="preserve"> internacional</w:t>
            </w:r>
            <w:r w:rsidR="008F51EA" w:rsidRPr="002930BD">
              <w:rPr>
                <w:lang w:val="es-ES"/>
              </w:rPr>
              <w:t>es</w:t>
            </w:r>
            <w:r w:rsidRPr="002930BD">
              <w:rPr>
                <w:lang w:val="es-ES"/>
              </w:rPr>
              <w:t>." Nuestros clientes en Europa y Asia operan a un nivel altamente internacional."</w:t>
            </w:r>
          </w:p>
        </w:tc>
      </w:tr>
    </w:tbl>
    <w:p w14:paraId="35C530F8" w14:textId="0F0E8C3B" w:rsidR="00A36608" w:rsidRPr="00C16A15" w:rsidRDefault="00A36608" w:rsidP="00A36608">
      <w:pPr>
        <w:pStyle w:val="BU"/>
        <w:rPr>
          <w:lang w:val="es-ES"/>
        </w:rPr>
      </w:pPr>
    </w:p>
    <w:p w14:paraId="68F4653F" w14:textId="1AF5145D" w:rsidR="00A36608" w:rsidRPr="00C16A15" w:rsidRDefault="00A36608" w:rsidP="00A36608">
      <w:pPr>
        <w:pStyle w:val="BU"/>
        <w:rPr>
          <w:lang w:val="es-ES"/>
        </w:rPr>
      </w:pPr>
    </w:p>
    <w:p w14:paraId="02DD02D9" w14:textId="640C0F8E" w:rsidR="00A36608" w:rsidRPr="00C16A15" w:rsidRDefault="00A36608" w:rsidP="00A36608">
      <w:pPr>
        <w:pStyle w:val="BU"/>
        <w:rPr>
          <w:lang w:val="es-ES"/>
        </w:rPr>
      </w:pPr>
    </w:p>
    <w:p w14:paraId="73C2F3F4" w14:textId="77777777" w:rsidR="00A36608" w:rsidRPr="00C16A15" w:rsidRDefault="00A36608" w:rsidP="00A36608">
      <w:pPr>
        <w:pStyle w:val="BU"/>
        <w:rPr>
          <w:lang w:val="es-ES"/>
        </w:rPr>
      </w:pPr>
      <w:r>
        <w:rPr>
          <w:noProof/>
        </w:rPr>
        <w:drawing>
          <wp:anchor distT="0" distB="0" distL="114300" distR="114300" simplePos="0" relativeHeight="251660288" behindDoc="0" locked="0" layoutInCell="1" allowOverlap="1" wp14:anchorId="3487C401" wp14:editId="261DF6DF">
            <wp:simplePos x="0" y="0"/>
            <wp:positionH relativeFrom="margin">
              <wp:posOffset>39701</wp:posOffset>
            </wp:positionH>
            <wp:positionV relativeFrom="paragraph">
              <wp:posOffset>18415</wp:posOffset>
            </wp:positionV>
            <wp:extent cx="1390772" cy="1693628"/>
            <wp:effectExtent l="0" t="0" r="0" b="1905"/>
            <wp:wrapNone/>
            <wp:docPr id="2096534976" name="Grafik 1" descr="Una imagen que contiene capturas de pantalla, modelado 3D.&#10;&#10;El contenido generado por IA puede ser ines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534976" name="Grafik 1" descr="Ein Bild, das Screenshot, 3D-Modellierung enthält.&#10;&#10;KI-generierte Inhalte können fehlerhaft sein."/>
                    <pic:cNvPicPr>
                      <a:picLocks noChangeAspect="1" noChangeArrowheads="1"/>
                    </pic:cNvPicPr>
                  </pic:nvPicPr>
                  <pic:blipFill rotWithShape="1">
                    <a:blip r:embed="rId13">
                      <a:extLst>
                        <a:ext uri="{28A0092B-C50C-407E-A947-70E740481C1C}">
                          <a14:useLocalDpi xmlns:a14="http://schemas.microsoft.com/office/drawing/2010/main" val="0"/>
                        </a:ext>
                      </a:extLst>
                    </a:blip>
                    <a:srcRect r="46348"/>
                    <a:stretch/>
                  </pic:blipFill>
                  <pic:spPr bwMode="auto">
                    <a:xfrm>
                      <a:off x="0" y="0"/>
                      <a:ext cx="1390772" cy="169362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915CF88" w14:textId="77777777" w:rsidR="00A36608" w:rsidRPr="00C16A15" w:rsidRDefault="00A36608" w:rsidP="00A36608">
      <w:pPr>
        <w:pStyle w:val="BU"/>
        <w:rPr>
          <w:lang w:val="es-ES"/>
        </w:rPr>
      </w:pPr>
    </w:p>
    <w:p w14:paraId="74C75092" w14:textId="77777777" w:rsidR="00A36608" w:rsidRPr="00C16A15" w:rsidRDefault="00A36608" w:rsidP="00A36608">
      <w:pPr>
        <w:pStyle w:val="BU"/>
        <w:rPr>
          <w:lang w:val="es-ES"/>
        </w:rPr>
      </w:pPr>
    </w:p>
    <w:p w14:paraId="1D6AEBC6" w14:textId="77777777" w:rsidR="00A36608" w:rsidRPr="00C16A15" w:rsidRDefault="00A36608" w:rsidP="00A36608">
      <w:pPr>
        <w:pStyle w:val="BU"/>
        <w:rPr>
          <w:lang w:val="es-ES"/>
        </w:rPr>
      </w:pPr>
    </w:p>
    <w:p w14:paraId="29E3D2CA" w14:textId="77777777" w:rsidR="00A36608" w:rsidRPr="00C16A15" w:rsidRDefault="00A36608" w:rsidP="00A36608">
      <w:pPr>
        <w:pStyle w:val="BU"/>
        <w:rPr>
          <w:lang w:val="es-ES"/>
        </w:rPr>
      </w:pPr>
    </w:p>
    <w:p w14:paraId="241A4A47" w14:textId="77777777" w:rsidR="00A36608" w:rsidRPr="00C16A15" w:rsidRDefault="00A36608" w:rsidP="00A36608">
      <w:pPr>
        <w:pStyle w:val="BU"/>
        <w:rPr>
          <w:lang w:val="es-ES"/>
        </w:rPr>
      </w:pPr>
    </w:p>
    <w:p w14:paraId="1FA056CB" w14:textId="77777777" w:rsidR="00A36608" w:rsidRPr="00C16A15" w:rsidRDefault="00A36608" w:rsidP="00A36608">
      <w:pPr>
        <w:pStyle w:val="BU"/>
        <w:rPr>
          <w:lang w:val="es-ES"/>
        </w:rPr>
      </w:pPr>
    </w:p>
    <w:p w14:paraId="652E6AC8" w14:textId="77777777" w:rsidR="00A36608" w:rsidRPr="00C16A15" w:rsidRDefault="00A36608" w:rsidP="00A36608">
      <w:pPr>
        <w:pStyle w:val="BU"/>
        <w:rPr>
          <w:lang w:val="es-ES"/>
        </w:rPr>
      </w:pPr>
    </w:p>
    <w:p w14:paraId="40C36DF9" w14:textId="77777777" w:rsidR="00A36608" w:rsidRPr="00C16A15" w:rsidRDefault="00A36608" w:rsidP="00A36608">
      <w:pPr>
        <w:pStyle w:val="BU"/>
        <w:rPr>
          <w:lang w:val="es-ES"/>
        </w:rPr>
      </w:pPr>
    </w:p>
    <w:p w14:paraId="245EB1D7" w14:textId="77777777" w:rsidR="00A36608" w:rsidRPr="00C16A15" w:rsidRDefault="00A36608" w:rsidP="00A36608">
      <w:pPr>
        <w:pStyle w:val="BU"/>
        <w:rPr>
          <w:lang w:val="es-ES"/>
        </w:rPr>
      </w:pPr>
    </w:p>
    <w:p w14:paraId="5FD94A6A" w14:textId="77777777" w:rsidR="00A36608" w:rsidRPr="00C16A15" w:rsidRDefault="00A36608" w:rsidP="00A36608">
      <w:pPr>
        <w:pStyle w:val="BU"/>
        <w:rPr>
          <w:lang w:val="es-ES"/>
        </w:rPr>
      </w:pPr>
    </w:p>
    <w:p w14:paraId="2E089F06" w14:textId="77777777" w:rsidR="00A36608" w:rsidRPr="00C16A15" w:rsidRDefault="00A36608" w:rsidP="00A36608">
      <w:pPr>
        <w:pStyle w:val="BU"/>
        <w:rPr>
          <w:lang w:val="es-ES"/>
        </w:rPr>
      </w:pPr>
    </w:p>
    <w:p w14:paraId="1BC96CD8" w14:textId="77777777" w:rsidR="00A36608" w:rsidRPr="00C16A15" w:rsidRDefault="00A36608" w:rsidP="00A36608">
      <w:pPr>
        <w:pStyle w:val="BU"/>
        <w:rPr>
          <w:lang w:val="es-ES"/>
        </w:rPr>
      </w:pPr>
    </w:p>
    <w:p w14:paraId="19614EC5" w14:textId="77777777" w:rsidR="00A36608" w:rsidRPr="00C16A15" w:rsidRDefault="00A36608" w:rsidP="00A36608">
      <w:pPr>
        <w:pStyle w:val="BU"/>
        <w:rPr>
          <w:b/>
          <w:bCs w:val="0"/>
          <w:lang w:val="es-ES"/>
        </w:rPr>
      </w:pPr>
      <w:r w:rsidRPr="002930BD">
        <w:rPr>
          <w:b/>
          <w:lang w:val="es-ES"/>
        </w:rPr>
        <w:t>Imagen 3</w:t>
      </w:r>
    </w:p>
    <w:p w14:paraId="4517AD2A" w14:textId="3F8E402B" w:rsidR="00A36608" w:rsidRPr="00C16A15" w:rsidRDefault="00A36608" w:rsidP="00A36608">
      <w:pPr>
        <w:pStyle w:val="BU"/>
        <w:rPr>
          <w:b/>
          <w:bCs w:val="0"/>
          <w:lang w:val="es-ES"/>
        </w:rPr>
      </w:pPr>
      <w:r w:rsidRPr="002930BD">
        <w:rPr>
          <w:lang w:val="es-ES"/>
        </w:rPr>
        <w:t xml:space="preserve">Portafusibles estrechos para fusibles de </w:t>
      </w:r>
      <w:r w:rsidR="008F51EA" w:rsidRPr="002930BD">
        <w:rPr>
          <w:lang w:val="es-ES"/>
        </w:rPr>
        <w:t>c</w:t>
      </w:r>
      <w:r w:rsidRPr="002930BD">
        <w:rPr>
          <w:lang w:val="es-ES"/>
        </w:rPr>
        <w:t xml:space="preserve">lase CC de hasta 30 A: fusibles </w:t>
      </w:r>
      <w:r w:rsidR="008F51EA" w:rsidRPr="002930BD">
        <w:rPr>
          <w:lang w:val="es-ES"/>
        </w:rPr>
        <w:t>disposición compacta en 18mm de ancho para un óptimo aprovechamiento del espacio.</w:t>
      </w:r>
    </w:p>
    <w:p w14:paraId="385AF6AE" w14:textId="77777777" w:rsidR="00A36608" w:rsidRDefault="00A36608" w:rsidP="00A36608">
      <w:pPr>
        <w:pStyle w:val="BU"/>
        <w:rPr>
          <w:lang w:val="es-ES"/>
        </w:rPr>
      </w:pPr>
    </w:p>
    <w:p w14:paraId="5F4C44D6" w14:textId="77777777" w:rsidR="008F51EA" w:rsidRDefault="008F51EA" w:rsidP="00A36608">
      <w:pPr>
        <w:pStyle w:val="BU"/>
        <w:rPr>
          <w:lang w:val="es-ES"/>
        </w:rPr>
      </w:pPr>
    </w:p>
    <w:p w14:paraId="05AD834D" w14:textId="77777777" w:rsidR="008F51EA" w:rsidRDefault="008F51EA" w:rsidP="00A36608">
      <w:pPr>
        <w:pStyle w:val="BU"/>
        <w:rPr>
          <w:lang w:val="es-ES"/>
        </w:rPr>
      </w:pPr>
    </w:p>
    <w:p w14:paraId="56FB9C50" w14:textId="77777777" w:rsidR="008F51EA" w:rsidRPr="00C16A15" w:rsidRDefault="008F51EA" w:rsidP="00A36608">
      <w:pPr>
        <w:pStyle w:val="BU"/>
        <w:rPr>
          <w:lang w:val="es-ES"/>
        </w:rPr>
      </w:pPr>
    </w:p>
    <w:p w14:paraId="14B6438F" w14:textId="77777777" w:rsidR="00A36608" w:rsidRPr="00C16A15" w:rsidRDefault="00A36608" w:rsidP="00A36608">
      <w:pPr>
        <w:pStyle w:val="BU"/>
        <w:rPr>
          <w:lang w:val="es-ES"/>
        </w:rPr>
      </w:pPr>
      <w:r w:rsidRPr="002930BD">
        <w:rPr>
          <w:lang w:val="es-ES"/>
        </w:rPr>
        <w:t xml:space="preserve">Puede reproducirse de forma gratuita. Por favor, nombre a Rittal </w:t>
      </w:r>
      <w:proofErr w:type="spellStart"/>
      <w:r w:rsidRPr="002930BD">
        <w:rPr>
          <w:lang w:val="es-ES"/>
        </w:rPr>
        <w:t>GmbH</w:t>
      </w:r>
      <w:proofErr w:type="spellEnd"/>
      <w:r w:rsidRPr="002930BD">
        <w:rPr>
          <w:lang w:val="es-ES"/>
        </w:rPr>
        <w:t xml:space="preserve"> &amp; Co. </w:t>
      </w:r>
      <w:r w:rsidRPr="00A36608">
        <w:t xml:space="preserve">KG </w:t>
      </w:r>
      <w:proofErr w:type="spellStart"/>
      <w:r w:rsidRPr="00A36608">
        <w:t>como</w:t>
      </w:r>
      <w:proofErr w:type="spellEnd"/>
      <w:r w:rsidRPr="00A36608">
        <w:t xml:space="preserve"> </w:t>
      </w:r>
      <w:proofErr w:type="spellStart"/>
      <w:r w:rsidRPr="00A36608">
        <w:t>fuente</w:t>
      </w:r>
      <w:proofErr w:type="spellEnd"/>
    </w:p>
    <w:p w14:paraId="2F4A9054" w14:textId="77777777" w:rsidR="00A36608" w:rsidRPr="00C16A15" w:rsidRDefault="00A36608" w:rsidP="00A36608">
      <w:pPr>
        <w:pStyle w:val="Unternehmensportrait-H2"/>
        <w:rPr>
          <w:sz w:val="20"/>
          <w:lang w:val="es-ES"/>
        </w:rPr>
      </w:pPr>
      <w:r w:rsidRPr="00A36608">
        <w:br w:type="page"/>
      </w:r>
    </w:p>
    <w:p w14:paraId="5A8FB603" w14:textId="77777777" w:rsidR="00A36608" w:rsidRPr="00C16A15" w:rsidRDefault="00A36608" w:rsidP="00A36608">
      <w:pPr>
        <w:pStyle w:val="Unternehmensportrait-H1"/>
        <w:rPr>
          <w:lang w:val="es-ES"/>
        </w:rPr>
      </w:pPr>
      <w:r w:rsidRPr="002930BD">
        <w:rPr>
          <w:lang w:val="es-ES"/>
        </w:rPr>
        <w:lastRenderedPageBreak/>
        <w:t>Rittal</w:t>
      </w:r>
    </w:p>
    <w:p w14:paraId="56468694" w14:textId="77777777" w:rsidR="00A36608" w:rsidRPr="00C16A15" w:rsidRDefault="00A36608" w:rsidP="00A36608">
      <w:pPr>
        <w:pStyle w:val="Unternehmensportrait-Linie"/>
        <w:rPr>
          <w:lang w:val="es-ES"/>
        </w:rPr>
      </w:pPr>
    </w:p>
    <w:p w14:paraId="6AA5AE69" w14:textId="77777777" w:rsidR="00A36608" w:rsidRPr="00C16A15" w:rsidRDefault="00A36608" w:rsidP="00A36608">
      <w:pPr>
        <w:pStyle w:val="Unternehmensportrait"/>
        <w:jc w:val="left"/>
        <w:rPr>
          <w:lang w:val="es-ES"/>
        </w:rPr>
      </w:pPr>
      <w:r w:rsidRPr="002930BD">
        <w:rPr>
          <w:lang w:val="es-ES"/>
        </w:rPr>
        <w:t>Rittal es un proveedor global líder de sistemas de recubrimientos, automatización e infraestructuras con sus unidades industriales, de TI, energía y energía, refrigeración y servicio. Los productos Rittal se utilizan en más del 90% de las industrias globales: estandarizados, personalizados y siempre de la mejor calidad.</w:t>
      </w:r>
    </w:p>
    <w:p w14:paraId="7120D965" w14:textId="77777777" w:rsidR="00A36608" w:rsidRPr="00C16A15" w:rsidRDefault="00A36608" w:rsidP="00A36608">
      <w:pPr>
        <w:pStyle w:val="Unternehmensportrait"/>
        <w:jc w:val="left"/>
        <w:rPr>
          <w:lang w:val="es-ES"/>
        </w:rPr>
      </w:pPr>
    </w:p>
    <w:p w14:paraId="1440DD13" w14:textId="77777777" w:rsidR="00A36608" w:rsidRPr="00C16A15" w:rsidRDefault="00A36608" w:rsidP="00A36608">
      <w:pPr>
        <w:pStyle w:val="Unternehmensportrait"/>
        <w:jc w:val="left"/>
        <w:rPr>
          <w:lang w:val="es-ES"/>
        </w:rPr>
      </w:pPr>
      <w:r w:rsidRPr="002930BD">
        <w:rPr>
          <w:lang w:val="es-ES"/>
        </w:rPr>
        <w:t xml:space="preserve">Nuestro enfoque y metodología: Rittal, Rittal Software </w:t>
      </w:r>
      <w:proofErr w:type="spellStart"/>
      <w:r w:rsidRPr="002930BD">
        <w:rPr>
          <w:lang w:val="es-ES"/>
        </w:rPr>
        <w:t>Systems</w:t>
      </w:r>
      <w:proofErr w:type="spellEnd"/>
      <w:r w:rsidRPr="002930BD">
        <w:rPr>
          <w:lang w:val="es-ES"/>
        </w:rPr>
        <w:t xml:space="preserve"> (</w:t>
      </w:r>
      <w:proofErr w:type="spellStart"/>
      <w:r w:rsidRPr="002930BD">
        <w:rPr>
          <w:lang w:val="es-ES"/>
        </w:rPr>
        <w:t>Eplan</w:t>
      </w:r>
      <w:proofErr w:type="spellEnd"/>
      <w:r w:rsidRPr="002930BD">
        <w:rPr>
          <w:lang w:val="es-ES"/>
        </w:rPr>
        <w:t xml:space="preserve"> y </w:t>
      </w:r>
      <w:proofErr w:type="spellStart"/>
      <w:r w:rsidRPr="002930BD">
        <w:rPr>
          <w:lang w:val="es-ES"/>
        </w:rPr>
        <w:t>Cideon</w:t>
      </w:r>
      <w:proofErr w:type="spellEnd"/>
      <w:r w:rsidRPr="002930BD">
        <w:rPr>
          <w:lang w:val="es-ES"/>
        </w:rPr>
        <w:t xml:space="preserve">) y Rittal </w:t>
      </w:r>
      <w:proofErr w:type="spellStart"/>
      <w:r w:rsidRPr="002930BD">
        <w:rPr>
          <w:lang w:val="es-ES"/>
        </w:rPr>
        <w:t>Automation</w:t>
      </w:r>
      <w:proofErr w:type="spellEnd"/>
      <w:r w:rsidRPr="002930BD">
        <w:rPr>
          <w:lang w:val="es-ES"/>
        </w:rPr>
        <w:t xml:space="preserve"> </w:t>
      </w:r>
      <w:proofErr w:type="spellStart"/>
      <w:r w:rsidRPr="002930BD">
        <w:rPr>
          <w:lang w:val="es-ES"/>
        </w:rPr>
        <w:t>Systems</w:t>
      </w:r>
      <w:proofErr w:type="spellEnd"/>
      <w:r w:rsidRPr="002930BD">
        <w:rPr>
          <w:lang w:val="es-ES"/>
        </w:rPr>
        <w:t xml:space="preserve"> (RAS, </w:t>
      </w:r>
      <w:proofErr w:type="spellStart"/>
      <w:r w:rsidRPr="002930BD">
        <w:rPr>
          <w:lang w:val="es-ES"/>
        </w:rPr>
        <w:t>Ehrt</w:t>
      </w:r>
      <w:proofErr w:type="spellEnd"/>
      <w:r w:rsidRPr="002930BD">
        <w:rPr>
          <w:lang w:val="es-ES"/>
        </w:rPr>
        <w:t xml:space="preserve"> y Alfra) combinan su experiencia en hardware y software para optimizar, optimizar e industrializar procesos en toda la cadena de valor de sus clientes, incluyendo su infraestructura informática – desde la construcción de control y conmutadores, la construcción de maquinaria hasta empresas manufactureras o el sector energético.</w:t>
      </w:r>
    </w:p>
    <w:p w14:paraId="176DCC3D" w14:textId="77777777" w:rsidR="00A36608" w:rsidRPr="00C16A15" w:rsidRDefault="00A36608" w:rsidP="00A36608">
      <w:pPr>
        <w:pStyle w:val="Unternehmensportrait"/>
        <w:jc w:val="left"/>
        <w:rPr>
          <w:lang w:val="es-ES"/>
        </w:rPr>
      </w:pPr>
    </w:p>
    <w:p w14:paraId="6A410BB0" w14:textId="77777777" w:rsidR="00A36608" w:rsidRPr="00C16A15" w:rsidRDefault="00A36608" w:rsidP="00A36608">
      <w:pPr>
        <w:pStyle w:val="Unternehmensportrait"/>
        <w:jc w:val="left"/>
        <w:rPr>
          <w:lang w:val="es-ES"/>
        </w:rPr>
      </w:pPr>
      <w:r w:rsidRPr="002930BD">
        <w:rPr>
          <w:lang w:val="es-ES"/>
        </w:rPr>
        <w:t>Nuestra promesa de entrega: los productos estándar de Rittal se entregan en Alemania en 24 horas y en 48 horas en toda Europa.</w:t>
      </w:r>
    </w:p>
    <w:p w14:paraId="5C6A3C5F" w14:textId="77777777" w:rsidR="00A36608" w:rsidRPr="00C16A15" w:rsidRDefault="00A36608" w:rsidP="00A36608">
      <w:pPr>
        <w:pStyle w:val="Unternehmensportrait-H2"/>
        <w:rPr>
          <w:spacing w:val="-2"/>
          <w:lang w:val="es-ES"/>
        </w:rPr>
      </w:pPr>
      <w:r w:rsidRPr="002930BD">
        <w:rPr>
          <w:lang w:val="es-ES"/>
        </w:rPr>
        <w:t>Enfoque en el cliente</w:t>
      </w:r>
    </w:p>
    <w:p w14:paraId="729AF5C1" w14:textId="77777777" w:rsidR="00A36608" w:rsidRPr="00C16A15" w:rsidRDefault="00A36608" w:rsidP="00A36608">
      <w:pPr>
        <w:pStyle w:val="Unternehmensportrait"/>
        <w:jc w:val="left"/>
        <w:rPr>
          <w:lang w:val="es-ES"/>
        </w:rPr>
      </w:pPr>
      <w:r w:rsidRPr="002930BD">
        <w:rPr>
          <w:lang w:val="es-ES"/>
        </w:rPr>
        <w:t>Mejorar la eficiencia y aumentar la productividad mediante la automatización y la digitalización es uno de los mayores retos para nuestros clientes. Esto requiere un conocimiento y experiencia profundos, la combinación de hardware y software, y redes intersectoriales. Estamos convencidos de que crear y conectar salas de datos es crucial para el éxito de la transformación industrial. Y esa es precisamente nuestra especialidad y campo de competencia.</w:t>
      </w:r>
    </w:p>
    <w:p w14:paraId="3DD2E6DF" w14:textId="77777777" w:rsidR="00A36608" w:rsidRPr="00C16A15" w:rsidRDefault="00A36608" w:rsidP="00A36608">
      <w:pPr>
        <w:pStyle w:val="Unternehmensportrait"/>
        <w:jc w:val="left"/>
        <w:rPr>
          <w:lang w:val="es-ES"/>
        </w:rPr>
      </w:pPr>
    </w:p>
    <w:p w14:paraId="5EEFD94B" w14:textId="77777777" w:rsidR="00A36608" w:rsidRPr="00C16A15" w:rsidRDefault="00A36608" w:rsidP="00A36608">
      <w:pPr>
        <w:pStyle w:val="Unternehmensportrait"/>
        <w:jc w:val="left"/>
        <w:rPr>
          <w:lang w:val="es-ES"/>
        </w:rPr>
      </w:pPr>
      <w:proofErr w:type="spellStart"/>
      <w:r w:rsidRPr="002930BD">
        <w:rPr>
          <w:lang w:val="es-ES"/>
        </w:rPr>
        <w:t>Eplan</w:t>
      </w:r>
      <w:proofErr w:type="spellEnd"/>
      <w:r w:rsidRPr="002930BD">
        <w:rPr>
          <w:lang w:val="es-ES"/>
        </w:rPr>
        <w:t xml:space="preserve"> y Rittal están impulsando el desarrollo del gemelo de automatización digital, haciendo que los datos sean accesibles y utilizables también en operaciones. </w:t>
      </w:r>
      <w:proofErr w:type="spellStart"/>
      <w:r w:rsidRPr="002930BD">
        <w:rPr>
          <w:lang w:val="es-ES"/>
        </w:rPr>
        <w:t>Cideon</w:t>
      </w:r>
      <w:proofErr w:type="spellEnd"/>
      <w:r w:rsidRPr="002930BD">
        <w:rPr>
          <w:lang w:val="es-ES"/>
        </w:rPr>
        <w:t xml:space="preserve"> está mejorando la consistencia de datos en el contexto del gemelo digital de productos con su experiencia en CAD/CAM, PDM/PLM y configuración de productos.</w:t>
      </w:r>
    </w:p>
    <w:p w14:paraId="326FFBBF" w14:textId="77777777" w:rsidR="00A36608" w:rsidRPr="00C16A15" w:rsidRDefault="00A36608" w:rsidP="00A36608">
      <w:pPr>
        <w:pStyle w:val="Unternehmensportrait-H2"/>
        <w:rPr>
          <w:lang w:val="es-ES"/>
        </w:rPr>
      </w:pPr>
      <w:r w:rsidRPr="002930BD">
        <w:rPr>
          <w:lang w:val="es-ES"/>
        </w:rPr>
        <w:t>Sostenibilidad</w:t>
      </w:r>
    </w:p>
    <w:p w14:paraId="0D199EA3" w14:textId="77777777" w:rsidR="00A36608" w:rsidRPr="00C16A15" w:rsidRDefault="00A36608" w:rsidP="00A36608">
      <w:pPr>
        <w:pStyle w:val="Unternehmensportrait"/>
        <w:jc w:val="left"/>
        <w:rPr>
          <w:lang w:val="es-ES"/>
        </w:rPr>
      </w:pPr>
      <w:r w:rsidRPr="002930BD">
        <w:rPr>
          <w:lang w:val="es-ES"/>
        </w:rPr>
        <w:t>La protección medioambiental y climática, la responsabilidad social y la gobernanza corporativa ética son algo habitual para Rittal. Nos tomamos muy en serio nuestra responsabilidad y responsabilidad por un futuro sostenible. Nuestro compromiso con la gestión y conservación de recursos incluye la mejora continua de nuestros propios procesos productivos, la minimización de la huella de carbono de nuestros productos y la provisión de soluciones que apoyen y ayuden a nuestros clientes a alcanzar sus propios objetivos climáticos.</w:t>
      </w:r>
    </w:p>
    <w:p w14:paraId="2AE79B4C" w14:textId="77777777" w:rsidR="00A36608" w:rsidRPr="008F51EA" w:rsidRDefault="00A36608" w:rsidP="00A36608">
      <w:pPr>
        <w:pStyle w:val="Unternehmensportrait-H2"/>
        <w:rPr>
          <w:spacing w:val="-2"/>
          <w:lang w:val="es-ES"/>
        </w:rPr>
      </w:pPr>
      <w:r w:rsidRPr="002930BD">
        <w:rPr>
          <w:lang w:val="es-ES"/>
        </w:rPr>
        <w:t>Negocio familiar y actor global</w:t>
      </w:r>
    </w:p>
    <w:p w14:paraId="123D8269" w14:textId="77777777" w:rsidR="00A36608" w:rsidRPr="00C16A15" w:rsidRDefault="00A36608" w:rsidP="00A36608">
      <w:pPr>
        <w:pStyle w:val="Unternehmensportrait"/>
        <w:jc w:val="left"/>
        <w:rPr>
          <w:lang w:val="es-ES"/>
        </w:rPr>
      </w:pPr>
      <w:r w:rsidRPr="002930BD">
        <w:rPr>
          <w:lang w:val="es-ES"/>
        </w:rPr>
        <w:t xml:space="preserve">Fundada en 1961, Rittal es la mayor empresa del grupo Friedhelm Loh, gestionado por sus propietarios. El grupo opera a nivel mundial, con 13 centros de producción y 95 filiales internacionales. Cuenta con 12.600 empleados y registró unos ingresos de 3.100 millones de euros en el ejercicio fiscal 2024. En 2023, el Grupo Friedhelm Loh recibió los premios "Mejor Lugar para Aprender" y "Empleador del Futuro". En 2026, Rittal fue galardonada con el Top 100 Seal como una de las empresas medianas más innovadoras de Alemania por quinta vez consecutiva. En 2025, la planta de Rittal en </w:t>
      </w:r>
      <w:proofErr w:type="spellStart"/>
      <w:r w:rsidRPr="002930BD">
        <w:rPr>
          <w:lang w:val="es-ES"/>
        </w:rPr>
        <w:t>Haiger</w:t>
      </w:r>
      <w:proofErr w:type="spellEnd"/>
      <w:r w:rsidRPr="002930BD">
        <w:rPr>
          <w:lang w:val="es-ES"/>
        </w:rPr>
        <w:t xml:space="preserve"> ganó el primer puesto general en el concurso independiente y prestigioso "Fábrica del Año", que la reconoció como un símbolo de excelencia manufacturera y una de las mejores fábricas de Europa.</w:t>
      </w:r>
    </w:p>
    <w:p w14:paraId="5CC0BAC7" w14:textId="77777777" w:rsidR="00A36608" w:rsidRPr="00C16A15" w:rsidRDefault="00A36608" w:rsidP="00A36608">
      <w:pPr>
        <w:pStyle w:val="Unternehmensportrait"/>
        <w:jc w:val="left"/>
        <w:rPr>
          <w:lang w:val="es-ES"/>
        </w:rPr>
      </w:pPr>
    </w:p>
    <w:p w14:paraId="68CA4CD1" w14:textId="77777777" w:rsidR="00A36608" w:rsidRPr="00C16A15" w:rsidRDefault="00A36608" w:rsidP="00A36608">
      <w:pPr>
        <w:pStyle w:val="Unternehmensportrait"/>
        <w:jc w:val="left"/>
        <w:rPr>
          <w:spacing w:val="-2"/>
          <w:lang w:val="es-ES"/>
        </w:rPr>
      </w:pPr>
      <w:r w:rsidRPr="002930BD">
        <w:rPr>
          <w:lang w:val="es-ES"/>
        </w:rPr>
        <w:t>Para más información, visita www.rittal.com y www.friedhelm-loh-group.com.</w:t>
      </w:r>
    </w:p>
    <w:p w14:paraId="33F1D6AD" w14:textId="77777777" w:rsidR="00A36608" w:rsidRPr="00C16A15" w:rsidRDefault="00A36608" w:rsidP="00A36608">
      <w:pPr>
        <w:pStyle w:val="Unternehmensportrait-Linie"/>
        <w:rPr>
          <w:lang w:val="es-ES"/>
        </w:rPr>
      </w:pPr>
    </w:p>
    <w:p w14:paraId="39763639" w14:textId="0DA88381" w:rsidR="00A73C13" w:rsidRPr="002930BD" w:rsidRDefault="00A73C13" w:rsidP="008F585B">
      <w:pPr>
        <w:pStyle w:val="Unternehmenkommunikation"/>
        <w:jc w:val="left"/>
        <w:rPr>
          <w:lang w:val="es-ES"/>
        </w:rPr>
      </w:pPr>
    </w:p>
    <w:sectPr w:rsidR="00A73C13" w:rsidRPr="002930BD" w:rsidSect="00F11D1D">
      <w:headerReference w:type="default" r:id="rId14"/>
      <w:footerReference w:type="default" r:id="rId15"/>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80DD1" w14:textId="77777777" w:rsidR="00636B3B" w:rsidRDefault="00636B3B" w:rsidP="00C437B6">
      <w:r>
        <w:separator/>
      </w:r>
    </w:p>
  </w:endnote>
  <w:endnote w:type="continuationSeparator" w:id="0">
    <w:p w14:paraId="01B976E9" w14:textId="77777777" w:rsidR="00636B3B" w:rsidRDefault="00636B3B" w:rsidP="00C4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6C5208F2" w:rsidR="00202595" w:rsidRDefault="00B53034">
    <w:pPr>
      <w:pStyle w:val="Piedepgina"/>
    </w:pPr>
    <w:r w:rsidRPr="006270D1">
      <w:rPr>
        <w:noProof/>
      </w:rPr>
      <w:drawing>
        <wp:anchor distT="0" distB="0" distL="0" distR="0" simplePos="0" relativeHeight="251657216" behindDoc="0" locked="0" layoutInCell="1" allowOverlap="0" wp14:anchorId="370ED1DB" wp14:editId="5CD92332">
          <wp:simplePos x="0" y="0"/>
          <wp:positionH relativeFrom="margin">
            <wp:posOffset>-967740</wp:posOffset>
          </wp:positionH>
          <wp:positionV relativeFrom="topMargin">
            <wp:posOffset>9783584</wp:posOffset>
          </wp:positionV>
          <wp:extent cx="7773670" cy="182880"/>
          <wp:effectExtent l="0" t="0" r="0" b="0"/>
          <wp:wrapThrough wrapText="bothSides">
            <wp:wrapPolygon edited="0">
              <wp:start x="0" y="0"/>
              <wp:lineTo x="0" y="19500"/>
              <wp:lineTo x="21561" y="19500"/>
              <wp:lineTo x="21561" y="0"/>
              <wp:lineTo x="0" y="0"/>
            </wp:wrapPolygon>
          </wp:wrapThrough>
          <wp:docPr id="29"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3670" cy="182880"/>
                  </a:xfrm>
                  <a:prstGeom prst="rect">
                    <a:avLst/>
                  </a:prstGeom>
                </pic:spPr>
              </pic:pic>
            </a:graphicData>
          </a:graphic>
          <wp14:sizeRelV relativeFrom="margin">
            <wp14:pctHeight>0</wp14:pctHeight>
          </wp14:sizeRelV>
        </wp:anchor>
      </w:drawing>
    </w:r>
    <w:r>
      <w:rPr>
        <w:noProof/>
        <w:szCs w:val="20"/>
      </w:rPr>
      <w:drawing>
        <wp:anchor distT="0" distB="0" distL="114300" distR="114300" simplePos="0" relativeHeight="251658240" behindDoc="1" locked="0" layoutInCell="1" allowOverlap="1" wp14:anchorId="6347FF42" wp14:editId="222E1FC1">
          <wp:simplePos x="0" y="0"/>
          <wp:positionH relativeFrom="page">
            <wp:posOffset>866140</wp:posOffset>
          </wp:positionH>
          <wp:positionV relativeFrom="page">
            <wp:posOffset>10275431</wp:posOffset>
          </wp:positionV>
          <wp:extent cx="1767840" cy="93345"/>
          <wp:effectExtent l="0" t="0" r="0" b="0"/>
          <wp:wrapNone/>
          <wp:docPr id="18" name="Bild 1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E78B5" w14:textId="77777777" w:rsidR="00636B3B" w:rsidRDefault="00636B3B" w:rsidP="00C437B6">
      <w:r>
        <w:separator/>
      </w:r>
    </w:p>
  </w:footnote>
  <w:footnote w:type="continuationSeparator" w:id="0">
    <w:p w14:paraId="27F67261" w14:textId="77777777" w:rsidR="00636B3B" w:rsidRDefault="00636B3B" w:rsidP="00C4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0D1CAED3" w:rsidR="00202595" w:rsidRDefault="00376C7E">
    <w:pPr>
      <w:kinsoku w:val="0"/>
      <w:overflowPunct w:val="0"/>
      <w:spacing w:line="14" w:lineRule="auto"/>
      <w:rPr>
        <w:rFonts w:ascii="Times New Roman" w:hAnsi="Times New Roman" w:cs="Times New Roman"/>
        <w:sz w:val="20"/>
        <w:szCs w:val="20"/>
      </w:rPr>
    </w:pPr>
    <w:r w:rsidRPr="00376C7E">
      <w:rPr>
        <w:rFonts w:eastAsia="MS Mincho"/>
        <w:bCs/>
        <w:noProof/>
      </w:rPr>
      <mc:AlternateContent>
        <mc:Choice Requires="wps">
          <w:drawing>
            <wp:anchor distT="0" distB="0" distL="114300" distR="114300" simplePos="0" relativeHeight="251661312" behindDoc="0" locked="0" layoutInCell="1" allowOverlap="1" wp14:anchorId="206B89A1" wp14:editId="72C9DAD0">
              <wp:simplePos x="0" y="0"/>
              <wp:positionH relativeFrom="margin">
                <wp:align>left</wp:align>
              </wp:positionH>
              <wp:positionV relativeFrom="paragraph">
                <wp:posOffset>436038</wp:posOffset>
              </wp:positionV>
              <wp:extent cx="3904091" cy="409651"/>
              <wp:effectExtent l="0" t="0" r="20320" b="28575"/>
              <wp:wrapNone/>
              <wp:docPr id="871724901" name="Textfeld 871724901"/>
              <wp:cNvGraphicFramePr/>
              <a:graphic xmlns:a="http://schemas.openxmlformats.org/drawingml/2006/main">
                <a:graphicData uri="http://schemas.microsoft.com/office/word/2010/wordprocessingShape">
                  <wps:wsp>
                    <wps:cNvSpPr txBox="1"/>
                    <wps:spPr>
                      <a:xfrm>
                        <a:off x="0" y="0"/>
                        <a:ext cx="3904091" cy="409651"/>
                      </a:xfrm>
                      <a:prstGeom prst="rect">
                        <a:avLst/>
                      </a:prstGeom>
                      <a:solidFill>
                        <a:sysClr val="window" lastClr="FFFFFF"/>
                      </a:solidFill>
                      <a:ln w="6350">
                        <a:solidFill>
                          <a:prstClr val="black"/>
                        </a:solidFill>
                      </a:ln>
                    </wps:spPr>
                    <wps:txbx>
                      <w:txbxContent>
                        <w:p w14:paraId="55F39FFC" w14:textId="6F95E7C1" w:rsidR="00376C7E" w:rsidRPr="00C16A15" w:rsidRDefault="00376C7E" w:rsidP="00376C7E">
                          <w:pPr>
                            <w:rPr>
                              <w:lang w:val="es-ES"/>
                            </w:rPr>
                          </w:pPr>
                          <w:r w:rsidRPr="002930BD">
                            <w:rPr>
                              <w:lang w:val="es-ES"/>
                            </w:rPr>
                            <w:t>Rittal y Eplan en la Hannover</w:t>
                          </w:r>
                          <w:r w:rsidR="006C0255" w:rsidRPr="002930BD">
                            <w:rPr>
                              <w:lang w:val="es-ES"/>
                            </w:rPr>
                            <w:t xml:space="preserve"> Messe</w:t>
                          </w:r>
                        </w:p>
                        <w:p w14:paraId="7E4D67E0" w14:textId="70AB6054" w:rsidR="00376C7E" w:rsidRPr="00C16A15" w:rsidRDefault="00376C7E" w:rsidP="00376C7E">
                          <w:pPr>
                            <w:rPr>
                              <w:lang w:val="es-ES"/>
                            </w:rPr>
                          </w:pPr>
                          <w:r w:rsidRPr="002930BD">
                            <w:rPr>
                              <w:lang w:val="es-ES"/>
                            </w:rPr>
                            <w:t xml:space="preserve">del 20 al 24 de abril de 2026, pabellón 27, </w:t>
                          </w:r>
                          <w:r w:rsidR="006C0255" w:rsidRPr="002930BD">
                            <w:rPr>
                              <w:lang w:val="es-ES"/>
                            </w:rPr>
                            <w:t>stand</w:t>
                          </w:r>
                          <w:r w:rsidRPr="002930BD">
                            <w:rPr>
                              <w:lang w:val="es-ES"/>
                            </w:rPr>
                            <w:t xml:space="preserve"> D50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206B89A1" id="_x0000_t202" coordsize="21600,21600" o:spt="202" path="m,l,21600r21600,l21600,xe">
              <v:stroke joinstyle="miter"/>
              <v:path gradientshapeok="t" o:connecttype="rect"/>
            </v:shapetype>
            <v:shape id="Textfeld 871724901" o:spid="_x0000_s1026" type="#_x0000_t202" style="position:absolute;margin-left:0;margin-top:34.35pt;width:307.4pt;height:32.2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" fillcolor="window" strokeweight=".5pt">
              <v:textbox>
                <w:txbxContent>
                  <w:p w14:paraId="55F39FFC" w14:textId="6F95E7C1" w:rsidR="00376C7E" w:rsidRPr="00C16A15" w:rsidRDefault="00376C7E" w:rsidP="00376C7E">
                    <w:pPr>
                      <w:rPr>
                        <w:lang w:val="es-ES"/>
                      </w:rPr>
                    </w:pPr>
                    <w:r w:rsidRPr="002930BD">
                      <w:rPr>
                        <w:lang w:val="es-ES"/>
                      </w:rPr>
                      <w:t>Rittal y Eplan en la Hannover</w:t>
                    </w:r>
                    <w:r w:rsidR="006C0255" w:rsidRPr="002930BD">
                      <w:rPr>
                        <w:lang w:val="es-ES"/>
                      </w:rPr>
                      <w:t xml:space="preserve"> Messe</w:t>
                    </w:r>
                  </w:p>
                  <w:p w14:paraId="7E4D67E0" w14:textId="70AB6054" w:rsidR="00376C7E" w:rsidRPr="00C16A15" w:rsidRDefault="00376C7E" w:rsidP="00376C7E">
                    <w:pPr>
                      <w:rPr>
                        <w:lang w:val="es-ES"/>
                      </w:rPr>
                    </w:pPr>
                    <w:r w:rsidRPr="002930BD">
                      <w:rPr>
                        <w:lang w:val="es-ES"/>
                      </w:rPr>
                      <w:t xml:space="preserve">del 20 al 24 de abril de 2026, pabellón 27, </w:t>
                    </w:r>
                    <w:r w:rsidR="006C0255" w:rsidRPr="002930BD">
                      <w:rPr>
                        <w:lang w:val="es-ES"/>
                      </w:rPr>
                      <w:t>stand</w:t>
                    </w:r>
                    <w:r w:rsidRPr="002930BD">
                      <w:rPr>
                        <w:lang w:val="es-ES"/>
                      </w:rPr>
                      <w:t xml:space="preserve"> D50</w:t>
                    </w:r>
                  </w:p>
                </w:txbxContent>
              </v:textbox>
              <w10:wrap anchorx="margin"/>
            </v:shape>
          </w:pict>
        </mc:Fallback>
      </mc:AlternateContent>
    </w:r>
    <w:r w:rsidR="0011102D" w:rsidRPr="0011102D">
      <w:rPr>
        <w:rFonts w:ascii="Times New Roman" w:hAnsi="Times New Roman" w:cs="Times New Roman"/>
        <w:noProof/>
        <w:sz w:val="20"/>
        <w:szCs w:val="20"/>
      </w:rPr>
      <w:drawing>
        <wp:anchor distT="0" distB="0" distL="114300" distR="114300" simplePos="0" relativeHeight="251656192"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A36608">
      <w:rPr>
        <w:noProof/>
        <w:sz w:val="16"/>
        <w:szCs w:val="16"/>
      </w:rPr>
      <mc:AlternateContent>
        <mc:Choice Requires="wps">
          <w:drawing>
            <wp:anchor distT="0" distB="0" distL="114300" distR="114300" simplePos="0" relativeHeight="251659264" behindDoc="1" locked="0" layoutInCell="0" allowOverlap="1" wp14:anchorId="00F58628" wp14:editId="29C0DE3B">
              <wp:simplePos x="0" y="0"/>
              <wp:positionH relativeFrom="page">
                <wp:posOffset>864235</wp:posOffset>
              </wp:positionH>
              <wp:positionV relativeFrom="page">
                <wp:posOffset>449580</wp:posOffset>
              </wp:positionV>
              <wp:extent cx="1485900" cy="351790"/>
              <wp:effectExtent l="0" t="1905" r="2540" b="0"/>
              <wp:wrapNone/>
              <wp:docPr id="68877770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2BCEE4E0"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PRENSA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" o:allowincell="f" filled="f" stroked="f">
              <v:textbox inset="0,0,0,0">
                <w:txbxContent>
                  <w:p w14:paraId="5B40DB85" w14:textId="2BCEE4E0"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PRENSA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22489"/>
    <w:rsid w:val="00025AE7"/>
    <w:rsid w:val="00027B50"/>
    <w:rsid w:val="00034685"/>
    <w:rsid w:val="00037FD6"/>
    <w:rsid w:val="00047B15"/>
    <w:rsid w:val="00052DD2"/>
    <w:rsid w:val="00077076"/>
    <w:rsid w:val="00080930"/>
    <w:rsid w:val="000902CE"/>
    <w:rsid w:val="000E7A2C"/>
    <w:rsid w:val="0011102D"/>
    <w:rsid w:val="00114302"/>
    <w:rsid w:val="001457E3"/>
    <w:rsid w:val="00145F70"/>
    <w:rsid w:val="001519D2"/>
    <w:rsid w:val="001926CE"/>
    <w:rsid w:val="001B189F"/>
    <w:rsid w:val="001B59CC"/>
    <w:rsid w:val="001B7268"/>
    <w:rsid w:val="001C25B8"/>
    <w:rsid w:val="001D555B"/>
    <w:rsid w:val="001D6722"/>
    <w:rsid w:val="001E046B"/>
    <w:rsid w:val="001E1C7F"/>
    <w:rsid w:val="001E78D8"/>
    <w:rsid w:val="002016FD"/>
    <w:rsid w:val="00202595"/>
    <w:rsid w:val="00211B44"/>
    <w:rsid w:val="00215DB2"/>
    <w:rsid w:val="0023718F"/>
    <w:rsid w:val="00261BBA"/>
    <w:rsid w:val="00274BBB"/>
    <w:rsid w:val="002930BD"/>
    <w:rsid w:val="002A662A"/>
    <w:rsid w:val="002C00E6"/>
    <w:rsid w:val="002C6615"/>
    <w:rsid w:val="002D2830"/>
    <w:rsid w:val="002D3CA2"/>
    <w:rsid w:val="002E1F7F"/>
    <w:rsid w:val="0030636B"/>
    <w:rsid w:val="0031514E"/>
    <w:rsid w:val="0033402A"/>
    <w:rsid w:val="00350E6C"/>
    <w:rsid w:val="00367B14"/>
    <w:rsid w:val="00376C7E"/>
    <w:rsid w:val="00397E80"/>
    <w:rsid w:val="003A7EAF"/>
    <w:rsid w:val="003B12EF"/>
    <w:rsid w:val="003B413C"/>
    <w:rsid w:val="003C464D"/>
    <w:rsid w:val="003E6594"/>
    <w:rsid w:val="004158D2"/>
    <w:rsid w:val="00424077"/>
    <w:rsid w:val="0042557E"/>
    <w:rsid w:val="004305EE"/>
    <w:rsid w:val="00445DA2"/>
    <w:rsid w:val="00447C4E"/>
    <w:rsid w:val="00454741"/>
    <w:rsid w:val="00455B4F"/>
    <w:rsid w:val="00456F1A"/>
    <w:rsid w:val="004616A5"/>
    <w:rsid w:val="004643E3"/>
    <w:rsid w:val="004839D0"/>
    <w:rsid w:val="004845A9"/>
    <w:rsid w:val="004860F9"/>
    <w:rsid w:val="00486A98"/>
    <w:rsid w:val="004C3F58"/>
    <w:rsid w:val="004D56BD"/>
    <w:rsid w:val="004F229F"/>
    <w:rsid w:val="00512F78"/>
    <w:rsid w:val="00513BB5"/>
    <w:rsid w:val="00542350"/>
    <w:rsid w:val="005467FA"/>
    <w:rsid w:val="0055018D"/>
    <w:rsid w:val="00556081"/>
    <w:rsid w:val="005648B8"/>
    <w:rsid w:val="0057573C"/>
    <w:rsid w:val="00584C14"/>
    <w:rsid w:val="005A134E"/>
    <w:rsid w:val="005D33D3"/>
    <w:rsid w:val="005D7486"/>
    <w:rsid w:val="005F47D3"/>
    <w:rsid w:val="00613397"/>
    <w:rsid w:val="006270D1"/>
    <w:rsid w:val="00636B3B"/>
    <w:rsid w:val="006467B0"/>
    <w:rsid w:val="00650E38"/>
    <w:rsid w:val="00654F16"/>
    <w:rsid w:val="00655540"/>
    <w:rsid w:val="0067568A"/>
    <w:rsid w:val="00681C6A"/>
    <w:rsid w:val="00685824"/>
    <w:rsid w:val="006922E1"/>
    <w:rsid w:val="006A2213"/>
    <w:rsid w:val="006B0F11"/>
    <w:rsid w:val="006C0224"/>
    <w:rsid w:val="006C0255"/>
    <w:rsid w:val="006C2B8D"/>
    <w:rsid w:val="006C6990"/>
    <w:rsid w:val="006C7EF7"/>
    <w:rsid w:val="006D5EAA"/>
    <w:rsid w:val="006E6B91"/>
    <w:rsid w:val="006F451A"/>
    <w:rsid w:val="00701182"/>
    <w:rsid w:val="00703E13"/>
    <w:rsid w:val="007315EA"/>
    <w:rsid w:val="007379AB"/>
    <w:rsid w:val="00744D53"/>
    <w:rsid w:val="007568B6"/>
    <w:rsid w:val="00760BC1"/>
    <w:rsid w:val="00764DAD"/>
    <w:rsid w:val="007656D2"/>
    <w:rsid w:val="00770261"/>
    <w:rsid w:val="0078194B"/>
    <w:rsid w:val="007A2C86"/>
    <w:rsid w:val="007B0D89"/>
    <w:rsid w:val="007C1BAC"/>
    <w:rsid w:val="007C2C27"/>
    <w:rsid w:val="007D60A7"/>
    <w:rsid w:val="007D7AE2"/>
    <w:rsid w:val="007D7EC5"/>
    <w:rsid w:val="00801528"/>
    <w:rsid w:val="00805E8F"/>
    <w:rsid w:val="0083064A"/>
    <w:rsid w:val="008610E2"/>
    <w:rsid w:val="00875457"/>
    <w:rsid w:val="00876660"/>
    <w:rsid w:val="00886E96"/>
    <w:rsid w:val="008912E2"/>
    <w:rsid w:val="008950B8"/>
    <w:rsid w:val="00895E52"/>
    <w:rsid w:val="008A1594"/>
    <w:rsid w:val="008F51EA"/>
    <w:rsid w:val="008F585B"/>
    <w:rsid w:val="008F58D0"/>
    <w:rsid w:val="009058E3"/>
    <w:rsid w:val="00947C4F"/>
    <w:rsid w:val="00996B25"/>
    <w:rsid w:val="009A0F9D"/>
    <w:rsid w:val="009D411D"/>
    <w:rsid w:val="009D709C"/>
    <w:rsid w:val="009E0DC3"/>
    <w:rsid w:val="009E3CD4"/>
    <w:rsid w:val="009E4D10"/>
    <w:rsid w:val="009F3123"/>
    <w:rsid w:val="00A0608C"/>
    <w:rsid w:val="00A23870"/>
    <w:rsid w:val="00A36303"/>
    <w:rsid w:val="00A36608"/>
    <w:rsid w:val="00A37B28"/>
    <w:rsid w:val="00A51035"/>
    <w:rsid w:val="00A51E5F"/>
    <w:rsid w:val="00A66242"/>
    <w:rsid w:val="00A71BED"/>
    <w:rsid w:val="00A73C13"/>
    <w:rsid w:val="00A90FC3"/>
    <w:rsid w:val="00AA6300"/>
    <w:rsid w:val="00AA6A2B"/>
    <w:rsid w:val="00AC391D"/>
    <w:rsid w:val="00AD5C77"/>
    <w:rsid w:val="00B111ED"/>
    <w:rsid w:val="00B12FC3"/>
    <w:rsid w:val="00B2698F"/>
    <w:rsid w:val="00B317B0"/>
    <w:rsid w:val="00B42CC3"/>
    <w:rsid w:val="00B5087C"/>
    <w:rsid w:val="00B515D9"/>
    <w:rsid w:val="00B53034"/>
    <w:rsid w:val="00B70890"/>
    <w:rsid w:val="00B75E7A"/>
    <w:rsid w:val="00B8089B"/>
    <w:rsid w:val="00B921A4"/>
    <w:rsid w:val="00B9325B"/>
    <w:rsid w:val="00BD1E6B"/>
    <w:rsid w:val="00BE100D"/>
    <w:rsid w:val="00C0410E"/>
    <w:rsid w:val="00C16A15"/>
    <w:rsid w:val="00C40907"/>
    <w:rsid w:val="00C437B6"/>
    <w:rsid w:val="00C63973"/>
    <w:rsid w:val="00C66898"/>
    <w:rsid w:val="00C707D4"/>
    <w:rsid w:val="00C7714F"/>
    <w:rsid w:val="00C83B47"/>
    <w:rsid w:val="00C85246"/>
    <w:rsid w:val="00C933FC"/>
    <w:rsid w:val="00C9738B"/>
    <w:rsid w:val="00CA28D3"/>
    <w:rsid w:val="00CB1B61"/>
    <w:rsid w:val="00CC229D"/>
    <w:rsid w:val="00CC3274"/>
    <w:rsid w:val="00CC57AA"/>
    <w:rsid w:val="00CD7C6C"/>
    <w:rsid w:val="00CF7702"/>
    <w:rsid w:val="00D02577"/>
    <w:rsid w:val="00D02D5B"/>
    <w:rsid w:val="00D0666B"/>
    <w:rsid w:val="00D109A1"/>
    <w:rsid w:val="00D205F9"/>
    <w:rsid w:val="00D2409E"/>
    <w:rsid w:val="00D80B69"/>
    <w:rsid w:val="00D92FEF"/>
    <w:rsid w:val="00DA0AC1"/>
    <w:rsid w:val="00DA78A6"/>
    <w:rsid w:val="00DC7953"/>
    <w:rsid w:val="00DC7BEC"/>
    <w:rsid w:val="00DD48DF"/>
    <w:rsid w:val="00DF3CF6"/>
    <w:rsid w:val="00E02D8D"/>
    <w:rsid w:val="00E421CD"/>
    <w:rsid w:val="00E427B7"/>
    <w:rsid w:val="00E4364C"/>
    <w:rsid w:val="00E43B92"/>
    <w:rsid w:val="00E45428"/>
    <w:rsid w:val="00E46942"/>
    <w:rsid w:val="00E7156E"/>
    <w:rsid w:val="00E72D1E"/>
    <w:rsid w:val="00EB1ED8"/>
    <w:rsid w:val="00ED3D20"/>
    <w:rsid w:val="00EE2E8D"/>
    <w:rsid w:val="00EE437A"/>
    <w:rsid w:val="00F11D1D"/>
    <w:rsid w:val="00F11F96"/>
    <w:rsid w:val="00F34793"/>
    <w:rsid w:val="00F46C85"/>
    <w:rsid w:val="00F513BA"/>
    <w:rsid w:val="00F53B77"/>
    <w:rsid w:val="00F56180"/>
    <w:rsid w:val="00F61379"/>
    <w:rsid w:val="00F87B82"/>
    <w:rsid w:val="00F90E37"/>
    <w:rsid w:val="00F94098"/>
    <w:rsid w:val="00FB1403"/>
    <w:rsid w:val="00FC3A8C"/>
    <w:rsid w:val="00FD25DB"/>
    <w:rsid w:val="00FD4CFC"/>
    <w:rsid w:val="00FE5478"/>
    <w:rsid w:val="00FF5CE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erschrift21">
    <w:name w:val="Überschrift 21"/>
    <w:basedOn w:val="Normal"/>
    <w:uiPriority w:val="1"/>
    <w:qFormat/>
    <w:rsid w:val="00F61379"/>
    <w:pPr>
      <w:ind w:left="110"/>
      <w:outlineLvl w:val="1"/>
    </w:pPr>
    <w:rPr>
      <w:b/>
      <w:bCs/>
      <w:sz w:val="16"/>
      <w:szCs w:val="16"/>
    </w:rPr>
  </w:style>
  <w:style w:type="paragraph" w:styleId="Prrafodelista">
    <w:name w:val="List Paragraph"/>
    <w:basedOn w:val="Normal"/>
    <w:uiPriority w:val="1"/>
    <w:qFormat/>
    <w:rsid w:val="00F61379"/>
    <w:pPr>
      <w:spacing w:before="90"/>
      <w:ind w:left="470" w:hanging="360"/>
    </w:pPr>
    <w:rPr>
      <w:sz w:val="24"/>
      <w:szCs w:val="24"/>
    </w:rPr>
  </w:style>
  <w:style w:type="paragraph" w:customStyle="1" w:styleId="TableParagraph">
    <w:name w:val="Table Paragraph"/>
    <w:basedOn w:val="Normal"/>
    <w:uiPriority w:val="1"/>
    <w:qFormat/>
    <w:rsid w:val="00F61379"/>
    <w:rPr>
      <w:rFonts w:ascii="Times New Roman" w:hAnsi="Times New Roman" w:cs="Times New Roman"/>
      <w:sz w:val="24"/>
      <w:szCs w:val="24"/>
    </w:rPr>
  </w:style>
  <w:style w:type="paragraph" w:styleId="Textodeglobo">
    <w:name w:val="Balloon Text"/>
    <w:basedOn w:val="Normal"/>
    <w:link w:val="TextodegloboCar"/>
    <w:uiPriority w:val="99"/>
    <w:semiHidden/>
    <w:unhideWhenUsed/>
    <w:rsid w:val="00650E38"/>
    <w:rPr>
      <w:rFonts w:ascii="Tahoma" w:hAnsi="Tahoma" w:cs="Tahoma"/>
      <w:sz w:val="16"/>
      <w:szCs w:val="16"/>
    </w:rPr>
  </w:style>
  <w:style w:type="character" w:customStyle="1" w:styleId="TextodegloboCar">
    <w:name w:val="Texto de globo Car"/>
    <w:basedOn w:val="Fuentedeprrafopredeter"/>
    <w:link w:val="Textodeglobo"/>
    <w:uiPriority w:val="99"/>
    <w:semiHidden/>
    <w:rsid w:val="00650E38"/>
    <w:rPr>
      <w:rFonts w:ascii="Tahoma" w:hAnsi="Tahoma" w:cs="Tahoma"/>
      <w:sz w:val="16"/>
      <w:szCs w:val="16"/>
    </w:rPr>
  </w:style>
  <w:style w:type="paragraph" w:styleId="Encabezado">
    <w:name w:val="header"/>
    <w:basedOn w:val="Normal"/>
    <w:link w:val="EncabezadoCar"/>
    <w:uiPriority w:val="99"/>
    <w:unhideWhenUsed/>
    <w:rsid w:val="00650E38"/>
    <w:pPr>
      <w:tabs>
        <w:tab w:val="center" w:pos="4536"/>
        <w:tab w:val="right" w:pos="9072"/>
      </w:tabs>
    </w:pPr>
  </w:style>
  <w:style w:type="character" w:customStyle="1" w:styleId="EncabezadoCar">
    <w:name w:val="Encabezado Car"/>
    <w:basedOn w:val="Fuentedeprrafopredeter"/>
    <w:link w:val="Encabezado"/>
    <w:uiPriority w:val="99"/>
    <w:rsid w:val="00650E38"/>
    <w:rPr>
      <w:rFonts w:ascii="Arial" w:hAnsi="Arial" w:cs="Arial"/>
    </w:rPr>
  </w:style>
  <w:style w:type="paragraph" w:styleId="Piedepgina">
    <w:name w:val="footer"/>
    <w:basedOn w:val="Normal"/>
    <w:link w:val="PiedepginaCar"/>
    <w:uiPriority w:val="99"/>
    <w:unhideWhenUsed/>
    <w:rsid w:val="00650E38"/>
    <w:pPr>
      <w:tabs>
        <w:tab w:val="center" w:pos="4536"/>
        <w:tab w:val="right" w:pos="9072"/>
      </w:tabs>
    </w:pPr>
  </w:style>
  <w:style w:type="character" w:customStyle="1" w:styleId="PiedepginaCar">
    <w:name w:val="Pie de página Car"/>
    <w:basedOn w:val="Fuentedeprrafopredeter"/>
    <w:link w:val="Piedepgina"/>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Normal"/>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laconcuadrcula">
    <w:name w:val="Table Grid"/>
    <w:basedOn w:val="Tablanormal"/>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Fuentedeprrafopredeter"/>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ipervnculo">
    <w:name w:val="Hyperlink"/>
    <w:basedOn w:val="Fuentedeprrafopredeter"/>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Normal"/>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Default">
    <w:name w:val="Default"/>
    <w:rsid w:val="00542350"/>
    <w:pPr>
      <w:autoSpaceDE w:val="0"/>
      <w:autoSpaceDN w:val="0"/>
      <w:adjustRightInd w:val="0"/>
      <w:spacing w:after="0" w:line="240" w:lineRule="auto"/>
    </w:pPr>
    <w:rPr>
      <w:rFonts w:ascii="Arial" w:hAnsi="Arial" w:cs="Arial"/>
      <w:color w:val="000000"/>
      <w:sz w:val="24"/>
      <w:szCs w:val="24"/>
    </w:rPr>
  </w:style>
  <w:style w:type="character" w:styleId="Mencinsinresolver">
    <w:name w:val="Unresolved Mention"/>
    <w:basedOn w:val="Fuentedeprrafopredeter"/>
    <w:uiPriority w:val="99"/>
    <w:semiHidden/>
    <w:unhideWhenUsed/>
    <w:rsid w:val="00542350"/>
    <w:rPr>
      <w:color w:val="605E5C"/>
      <w:shd w:val="clear" w:color="auto" w:fill="E1DFDD"/>
    </w:rPr>
  </w:style>
  <w:style w:type="character" w:styleId="Hipervnculovisitado">
    <w:name w:val="FollowedHyperlink"/>
    <w:basedOn w:val="Fuentedeprrafopredeter"/>
    <w:uiPriority w:val="99"/>
    <w:semiHidden/>
    <w:unhideWhenUsed/>
    <w:rsid w:val="00A37B28"/>
    <w:rPr>
      <w:color w:val="800080" w:themeColor="followedHyperlink"/>
      <w:u w:val="single"/>
    </w:rPr>
  </w:style>
  <w:style w:type="character" w:styleId="Refdecomentario">
    <w:name w:val="annotation reference"/>
    <w:basedOn w:val="Fuentedeprrafopredeter"/>
    <w:uiPriority w:val="99"/>
    <w:semiHidden/>
    <w:unhideWhenUsed/>
    <w:rsid w:val="00703E13"/>
    <w:rPr>
      <w:sz w:val="16"/>
      <w:szCs w:val="16"/>
    </w:rPr>
  </w:style>
  <w:style w:type="paragraph" w:styleId="Textocomentario">
    <w:name w:val="annotation text"/>
    <w:basedOn w:val="Normal"/>
    <w:link w:val="TextocomentarioCar"/>
    <w:uiPriority w:val="99"/>
    <w:unhideWhenUsed/>
    <w:rsid w:val="00703E13"/>
    <w:rPr>
      <w:sz w:val="20"/>
      <w:szCs w:val="20"/>
    </w:rPr>
  </w:style>
  <w:style w:type="character" w:customStyle="1" w:styleId="TextocomentarioCar">
    <w:name w:val="Texto comentario Car"/>
    <w:basedOn w:val="Fuentedeprrafopredeter"/>
    <w:link w:val="Textocomentario"/>
    <w:uiPriority w:val="99"/>
    <w:rsid w:val="00703E13"/>
    <w:rPr>
      <w:rFonts w:ascii="Arial" w:hAnsi="Arial" w:cs="Arial"/>
      <w:sz w:val="20"/>
      <w:szCs w:val="20"/>
    </w:rPr>
  </w:style>
  <w:style w:type="paragraph" w:styleId="Asuntodelcomentario">
    <w:name w:val="annotation subject"/>
    <w:basedOn w:val="Textocomentario"/>
    <w:next w:val="Textocomentario"/>
    <w:link w:val="AsuntodelcomentarioCar"/>
    <w:uiPriority w:val="99"/>
    <w:semiHidden/>
    <w:unhideWhenUsed/>
    <w:rsid w:val="00703E13"/>
    <w:rPr>
      <w:b/>
      <w:bCs/>
    </w:rPr>
  </w:style>
  <w:style w:type="character" w:customStyle="1" w:styleId="AsuntodelcomentarioCar">
    <w:name w:val="Asunto del comentario Car"/>
    <w:basedOn w:val="TextocomentarioCar"/>
    <w:link w:val="Asuntodelcomentario"/>
    <w:uiPriority w:val="99"/>
    <w:semiHidden/>
    <w:rsid w:val="00703E13"/>
    <w:rPr>
      <w:rFonts w:ascii="Arial" w:hAnsi="Arial" w:cs="Arial"/>
      <w:b/>
      <w:bCs/>
      <w:sz w:val="20"/>
      <w:szCs w:val="20"/>
    </w:rPr>
  </w:style>
  <w:style w:type="character" w:styleId="Textodelmarcadordeposicin">
    <w:name w:val="Placeholder Text"/>
    <w:basedOn w:val="Fuentedeprrafopredeter"/>
    <w:uiPriority w:val="99"/>
    <w:semiHidden/>
    <w:rsid w:val="00C16A1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3.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5CBD95-DA2E-4330-AC06-122BA2488BDA}">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2.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3.xml><?xml version="1.0" encoding="utf-8"?>
<ds:datastoreItem xmlns:ds="http://schemas.openxmlformats.org/officeDocument/2006/customXml" ds:itemID="{F54BAA1C-271B-47C8-9478-19C77B501A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200BFC-BDD6-4FDF-B206-E2675FC824BC}">
  <ds:schemaRefs>
    <ds:schemaRef ds:uri="http://schemas.microsoft.com/sharepoint/v3/contenttype/forms"/>
  </ds:schemaRefs>
</ds:datastoreItem>
</file>

<file path=docMetadata/LabelInfo.xml><?xml version="1.0" encoding="utf-8"?>
<clbl:labelList xmlns:clbl="http://schemas.microsoft.com/office/2020/mipLabelMetadata">
  <clbl:label id="{3a28a66c-3c7f-463f-9f3d-483220f1d838}" enabled="1" method="Standard" siteId="{a8218bc3-7d4c-4a61-b912-a6ca487118dd}" contentBits="0" removed="0"/>
</clbl:labelList>
</file>

<file path=docProps/app.xml><?xml version="1.0" encoding="utf-8"?>
<Properties xmlns="http://schemas.openxmlformats.org/officeDocument/2006/extended-properties" xmlns:vt="http://schemas.openxmlformats.org/officeDocument/2006/docPropsVTypes">
  <Template>Normal</Template>
  <TotalTime>5</TotalTime>
  <Pages>4</Pages>
  <Words>1282</Words>
  <Characters>7052</Characters>
  <Application>Microsoft Office Word</Application>
  <DocSecurity>4</DocSecurity>
  <Lines>58</Lines>
  <Paragraphs>16</Paragraphs>
  <ScaleCrop>false</ScaleCrop>
  <HeadingPairs>
    <vt:vector size="4" baseType="variant">
      <vt:variant>
        <vt:lpstr>Título</vt:lpstr>
      </vt:variant>
      <vt:variant>
        <vt:i4>1</vt:i4>
      </vt:variant>
      <vt:variant>
        <vt:lpstr>Titel</vt:lpstr>
      </vt:variant>
      <vt:variant>
        <vt:i4>1</vt:i4>
      </vt:variant>
    </vt:vector>
  </HeadingPairs>
  <TitlesOfParts>
    <vt:vector size="2" baseType="lpstr">
      <vt:lpstr/>
      <vt:lpstr/>
    </vt:vector>
  </TitlesOfParts>
  <Company>OCM GmbH</Company>
  <LinksUpToDate>false</LinksUpToDate>
  <CharactersWithSpaces>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Nuria Poch</cp:lastModifiedBy>
  <cp:revision>2</cp:revision>
  <cp:lastPrinted>2026-04-17T09:12:00Z</cp:lastPrinted>
  <dcterms:created xsi:type="dcterms:W3CDTF">2026-06-10T13:51:00Z</dcterms:created>
  <dcterms:modified xsi:type="dcterms:W3CDTF">2026-06-10T13:51:00Z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2026-03-05T13:44:40Z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c9378411-19c0-4a97-9706-80eb282f17c8</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