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5D832" w14:textId="20B9447F" w:rsidR="00A31DE7" w:rsidRPr="00303A6F" w:rsidRDefault="00A31DE7" w:rsidP="008F5C9A">
      <w:pPr>
        <w:pStyle w:val="Copytext"/>
        <w:ind w:right="1219"/>
        <w:rPr>
          <w:lang w:val="es-ES"/>
        </w:rPr>
      </w:pPr>
      <w:r w:rsidRPr="00303A6F">
        <w:rPr>
          <w:bCs w:val="0"/>
          <w:lang w:val="es-ES"/>
        </w:rPr>
        <w:t xml:space="preserve">Nuevo miembro de la </w:t>
      </w:r>
      <w:r w:rsidR="00790988">
        <w:rPr>
          <w:bCs w:val="0"/>
          <w:lang w:val="es-ES"/>
        </w:rPr>
        <w:t>r</w:t>
      </w:r>
      <w:r w:rsidRPr="00303A6F">
        <w:rPr>
          <w:bCs w:val="0"/>
          <w:lang w:val="es-ES"/>
        </w:rPr>
        <w:t xml:space="preserve">ed de </w:t>
      </w:r>
      <w:proofErr w:type="spellStart"/>
      <w:r w:rsidR="00790988">
        <w:rPr>
          <w:bCs w:val="0"/>
          <w:lang w:val="es-ES"/>
        </w:rPr>
        <w:t>p</w:t>
      </w:r>
      <w:r w:rsidR="008F5C9A" w:rsidRPr="00303A6F">
        <w:rPr>
          <w:bCs w:val="0"/>
          <w:lang w:val="es-ES"/>
        </w:rPr>
        <w:t>artners</w:t>
      </w:r>
      <w:proofErr w:type="spellEnd"/>
      <w:r w:rsidRPr="00303A6F">
        <w:rPr>
          <w:bCs w:val="0"/>
          <w:lang w:val="es-ES"/>
        </w:rPr>
        <w:t xml:space="preserve"> de Rittal para </w:t>
      </w:r>
      <w:proofErr w:type="spellStart"/>
      <w:r w:rsidR="008F5C9A" w:rsidRPr="00303A6F">
        <w:rPr>
          <w:bCs w:val="0"/>
          <w:lang w:val="es-ES"/>
        </w:rPr>
        <w:t>Energy&amp;Power</w:t>
      </w:r>
      <w:proofErr w:type="spellEnd"/>
    </w:p>
    <w:p w14:paraId="1A63F120" w14:textId="77777777" w:rsidR="00A31DE7" w:rsidRPr="00303A6F" w:rsidRDefault="00A31DE7" w:rsidP="008F5C9A">
      <w:pPr>
        <w:pStyle w:val="berschrift-H1"/>
        <w:ind w:right="1219"/>
        <w:rPr>
          <w:lang w:val="es-ES"/>
        </w:rPr>
      </w:pPr>
    </w:p>
    <w:p w14:paraId="07260EE0" w14:textId="33B7A22C" w:rsidR="00A31DE7" w:rsidRPr="00303A6F" w:rsidRDefault="00A31DE7" w:rsidP="008F5C9A">
      <w:pPr>
        <w:pStyle w:val="berschrift-H1"/>
        <w:ind w:right="1219"/>
        <w:rPr>
          <w:lang w:val="es-ES"/>
        </w:rPr>
      </w:pPr>
      <w:r w:rsidRPr="00303A6F">
        <w:rPr>
          <w:lang w:val="es-ES"/>
        </w:rPr>
        <w:t xml:space="preserve">Los </w:t>
      </w:r>
      <w:proofErr w:type="spellStart"/>
      <w:r w:rsidR="008F5C9A" w:rsidRPr="00303A6F">
        <w:rPr>
          <w:lang w:val="es-ES"/>
        </w:rPr>
        <w:t>partners</w:t>
      </w:r>
      <w:proofErr w:type="spellEnd"/>
      <w:r w:rsidRPr="00303A6F">
        <w:rPr>
          <w:lang w:val="es-ES"/>
        </w:rPr>
        <w:t xml:space="preserve"> tecnológicos Rittal y </w:t>
      </w:r>
      <w:proofErr w:type="spellStart"/>
      <w:r w:rsidRPr="00303A6F">
        <w:rPr>
          <w:lang w:val="es-ES"/>
        </w:rPr>
        <w:t>EcoG</w:t>
      </w:r>
      <w:proofErr w:type="spellEnd"/>
      <w:r w:rsidRPr="00303A6F">
        <w:rPr>
          <w:lang w:val="es-ES"/>
        </w:rPr>
        <w:t xml:space="preserve"> aceleran la integración de la infraestructura de carga en los sistemas energéticos </w:t>
      </w:r>
    </w:p>
    <w:p w14:paraId="5A156E55" w14:textId="77777777" w:rsidR="00A31DE7" w:rsidRPr="00303A6F" w:rsidRDefault="00A31DE7" w:rsidP="00A31DE7">
      <w:pPr>
        <w:pStyle w:val="berschrift-H1"/>
        <w:rPr>
          <w:lang w:val="es-ES"/>
        </w:rPr>
      </w:pPr>
    </w:p>
    <w:p w14:paraId="03368D3F" w14:textId="3EB56A05" w:rsidR="00A31DE7" w:rsidRPr="00303A6F" w:rsidRDefault="00A31DE7" w:rsidP="00A31DE7">
      <w:pPr>
        <w:pStyle w:val="Ort-Datum"/>
        <w:rPr>
          <w:lang w:val="es-ES"/>
        </w:rPr>
      </w:pPr>
      <w:r w:rsidRPr="00303A6F">
        <w:rPr>
          <w:bCs w:val="0"/>
          <w:lang w:val="es-ES"/>
        </w:rPr>
        <w:t>Herborn, 22-06-2026</w:t>
      </w:r>
    </w:p>
    <w:p w14:paraId="5ED55F9C" w14:textId="71F21730" w:rsidR="00A31DE7" w:rsidRPr="00303A6F" w:rsidRDefault="00A31DE7" w:rsidP="008F5C9A">
      <w:pPr>
        <w:pStyle w:val="Copytext-Intro"/>
        <w:ind w:right="1219"/>
        <w:jc w:val="both"/>
        <w:rPr>
          <w:bCs/>
          <w:lang w:val="es-ES"/>
        </w:rPr>
      </w:pPr>
      <w:r w:rsidRPr="00303A6F">
        <w:rPr>
          <w:bCs/>
          <w:lang w:val="es-ES"/>
        </w:rPr>
        <w:t>El auge de la movilidad eléctrica está impulsando la demanda de infraestructuras de carga de alto rendimiento</w:t>
      </w:r>
      <w:r w:rsidR="008F5C9A" w:rsidRPr="00303A6F">
        <w:rPr>
          <w:bCs/>
          <w:lang w:val="es-ES"/>
        </w:rPr>
        <w:t>,</w:t>
      </w:r>
      <w:r w:rsidRPr="00303A6F">
        <w:rPr>
          <w:bCs/>
          <w:lang w:val="es-ES"/>
        </w:rPr>
        <w:t xml:space="preserve"> cada vez más en el sector de vehículos comerciales. </w:t>
      </w:r>
      <w:r w:rsidR="008F5C9A" w:rsidRPr="00303A6F">
        <w:rPr>
          <w:bCs/>
          <w:lang w:val="es-ES"/>
        </w:rPr>
        <w:t xml:space="preserve">Para satisfacer esta necesidad, se requieren conceptos modulares que puedan integrarse de forma flexible en los sistemas energéticos existentes y ampliarse de manera progresiva. Con este objetivo, Rittal y </w:t>
      </w:r>
      <w:proofErr w:type="spellStart"/>
      <w:r w:rsidR="008F5C9A" w:rsidRPr="00303A6F">
        <w:rPr>
          <w:bCs/>
          <w:lang w:val="es-ES"/>
        </w:rPr>
        <w:t>EcoG</w:t>
      </w:r>
      <w:proofErr w:type="spellEnd"/>
      <w:r w:rsidR="008F5C9A" w:rsidRPr="00303A6F">
        <w:rPr>
          <w:bCs/>
          <w:lang w:val="es-ES"/>
        </w:rPr>
        <w:t xml:space="preserve"> refuerzan su colaboración:</w:t>
      </w:r>
      <w:r w:rsidRPr="00303A6F">
        <w:rPr>
          <w:bCs/>
          <w:lang w:val="es-ES"/>
        </w:rPr>
        <w:t xml:space="preserve"> la empresa tecnológica es ahora miembro de la </w:t>
      </w:r>
      <w:r w:rsidR="00790988">
        <w:rPr>
          <w:bCs/>
          <w:lang w:val="es-ES"/>
        </w:rPr>
        <w:t>r</w:t>
      </w:r>
      <w:r w:rsidRPr="00303A6F">
        <w:rPr>
          <w:bCs/>
          <w:lang w:val="es-ES"/>
        </w:rPr>
        <w:t xml:space="preserve">ed de </w:t>
      </w:r>
      <w:proofErr w:type="spellStart"/>
      <w:r w:rsidR="00790988">
        <w:rPr>
          <w:bCs/>
          <w:lang w:val="es-ES"/>
        </w:rPr>
        <w:t>p</w:t>
      </w:r>
      <w:r w:rsidR="008F5C9A" w:rsidRPr="00303A6F">
        <w:rPr>
          <w:bCs/>
          <w:lang w:val="es-ES"/>
        </w:rPr>
        <w:t>artners</w:t>
      </w:r>
      <w:proofErr w:type="spellEnd"/>
      <w:r w:rsidRPr="00303A6F">
        <w:rPr>
          <w:bCs/>
          <w:lang w:val="es-ES"/>
        </w:rPr>
        <w:t xml:space="preserve"> de Rittal para </w:t>
      </w:r>
      <w:r w:rsidR="008F5C9A" w:rsidRPr="00303A6F">
        <w:rPr>
          <w:bCs/>
          <w:lang w:val="es-ES"/>
        </w:rPr>
        <w:t>Energy &amp; Power</w:t>
      </w:r>
      <w:r w:rsidRPr="00303A6F">
        <w:rPr>
          <w:bCs/>
          <w:lang w:val="es-ES"/>
        </w:rPr>
        <w:t xml:space="preserve">. Juntas, ambas empresas </w:t>
      </w:r>
      <w:r w:rsidR="008F5C9A" w:rsidRPr="00303A6F">
        <w:rPr>
          <w:bCs/>
          <w:lang w:val="es-ES"/>
        </w:rPr>
        <w:t>impulsan</w:t>
      </w:r>
      <w:r w:rsidRPr="00303A6F">
        <w:rPr>
          <w:bCs/>
          <w:lang w:val="es-ES"/>
        </w:rPr>
        <w:t xml:space="preserve"> el desarrollo </w:t>
      </w:r>
      <w:r w:rsidR="008F5C9A" w:rsidRPr="00303A6F">
        <w:rPr>
          <w:bCs/>
          <w:lang w:val="es-ES"/>
        </w:rPr>
        <w:t>y la</w:t>
      </w:r>
      <w:r w:rsidRPr="00303A6F">
        <w:rPr>
          <w:bCs/>
          <w:lang w:val="es-ES"/>
        </w:rPr>
        <w:t xml:space="preserve"> </w:t>
      </w:r>
      <w:r w:rsidR="008F5C9A" w:rsidRPr="00303A6F">
        <w:rPr>
          <w:bCs/>
          <w:lang w:val="es-ES"/>
        </w:rPr>
        <w:t>implantación</w:t>
      </w:r>
      <w:r w:rsidRPr="00303A6F">
        <w:rPr>
          <w:bCs/>
          <w:lang w:val="es-ES"/>
        </w:rPr>
        <w:t xml:space="preserve"> de infraestructura</w:t>
      </w:r>
      <w:r w:rsidR="008F5C9A" w:rsidRPr="00303A6F">
        <w:rPr>
          <w:bCs/>
          <w:lang w:val="es-ES"/>
        </w:rPr>
        <w:t>s</w:t>
      </w:r>
      <w:r w:rsidRPr="00303A6F">
        <w:rPr>
          <w:bCs/>
          <w:lang w:val="es-ES"/>
        </w:rPr>
        <w:t xml:space="preserve"> modular</w:t>
      </w:r>
      <w:r w:rsidR="008F5C9A" w:rsidRPr="00303A6F">
        <w:rPr>
          <w:bCs/>
          <w:lang w:val="es-ES"/>
        </w:rPr>
        <w:t>es</w:t>
      </w:r>
      <w:r w:rsidRPr="00303A6F">
        <w:rPr>
          <w:bCs/>
          <w:lang w:val="es-ES"/>
        </w:rPr>
        <w:t xml:space="preserve"> de carga como sistema</w:t>
      </w:r>
      <w:r w:rsidR="008F5C9A" w:rsidRPr="00303A6F">
        <w:rPr>
          <w:bCs/>
          <w:lang w:val="es-ES"/>
        </w:rPr>
        <w:t>s</w:t>
      </w:r>
      <w:r w:rsidRPr="00303A6F">
        <w:rPr>
          <w:bCs/>
          <w:lang w:val="es-ES"/>
        </w:rPr>
        <w:t xml:space="preserve"> abierto</w:t>
      </w:r>
      <w:r w:rsidR="008F5C9A" w:rsidRPr="00303A6F">
        <w:rPr>
          <w:bCs/>
          <w:lang w:val="es-ES"/>
        </w:rPr>
        <w:t>s</w:t>
      </w:r>
      <w:r w:rsidRPr="00303A6F">
        <w:rPr>
          <w:bCs/>
          <w:lang w:val="es-ES"/>
        </w:rPr>
        <w:t xml:space="preserve"> para aplicaciones como </w:t>
      </w:r>
      <w:r w:rsidR="004959D6" w:rsidRPr="009147DE">
        <w:rPr>
          <w:bCs/>
          <w:lang w:val="es-ES"/>
        </w:rPr>
        <w:t>cocheras</w:t>
      </w:r>
      <w:r w:rsidRPr="00303A6F">
        <w:rPr>
          <w:bCs/>
          <w:lang w:val="es-ES"/>
        </w:rPr>
        <w:t xml:space="preserve"> de camiones eléctricos y operaciones de flotas.</w:t>
      </w:r>
    </w:p>
    <w:p w14:paraId="3AC1C695" w14:textId="0AE4CE74" w:rsidR="00A31DE7" w:rsidRPr="00303A6F" w:rsidRDefault="00A85AA0" w:rsidP="008F5C9A">
      <w:pPr>
        <w:pStyle w:val="Copytext-Intro"/>
        <w:ind w:right="1219"/>
        <w:jc w:val="both"/>
        <w:rPr>
          <w:b w:val="0"/>
          <w:bCs/>
          <w:lang w:val="es-ES"/>
        </w:rPr>
      </w:pPr>
      <w:r w:rsidRPr="00303A6F">
        <w:rPr>
          <w:b w:val="0"/>
          <w:lang w:val="es-ES"/>
        </w:rPr>
        <w:t>"</w:t>
      </w:r>
      <w:r w:rsidR="008F5C9A" w:rsidRPr="00303A6F">
        <w:rPr>
          <w:b w:val="0"/>
          <w:lang w:val="es-ES"/>
        </w:rPr>
        <w:t xml:space="preserve">Las exigencias que se plantean a los sistemas de carga y energía crecen al mismo ritmo que la dinámica del mercado. </w:t>
      </w:r>
      <w:r w:rsidRPr="00303A6F">
        <w:rPr>
          <w:b w:val="0"/>
          <w:lang w:val="es-ES"/>
        </w:rPr>
        <w:t xml:space="preserve">Gracias a nuestra colaboración con el especialista en sistemas Rittal, podemos integrar aún más estrechamente nuestra experiencia y ofrecer a los clientes un mejor soporte para </w:t>
      </w:r>
      <w:r w:rsidR="008F5C9A" w:rsidRPr="00303A6F">
        <w:rPr>
          <w:b w:val="0"/>
          <w:lang w:val="es-ES"/>
        </w:rPr>
        <w:t>implantar</w:t>
      </w:r>
      <w:r w:rsidRPr="00303A6F">
        <w:rPr>
          <w:b w:val="0"/>
          <w:lang w:val="es-ES"/>
        </w:rPr>
        <w:t xml:space="preserve"> infraestructuras de carga escalables </w:t>
      </w:r>
      <w:r w:rsidR="008F5C9A" w:rsidRPr="00303A6F">
        <w:rPr>
          <w:b w:val="0"/>
          <w:lang w:val="es-ES"/>
        </w:rPr>
        <w:t xml:space="preserve">de forma rápida </w:t>
      </w:r>
      <w:r w:rsidRPr="00303A6F">
        <w:rPr>
          <w:b w:val="0"/>
          <w:lang w:val="es-ES"/>
        </w:rPr>
        <w:t xml:space="preserve">a un ritmo acelerado", afirma el Dr. Jörg Heuer, CEO y cofundador de </w:t>
      </w:r>
      <w:proofErr w:type="spellStart"/>
      <w:r w:rsidRPr="00303A6F">
        <w:rPr>
          <w:b w:val="0"/>
          <w:lang w:val="es-ES"/>
        </w:rPr>
        <w:t>EcoG</w:t>
      </w:r>
      <w:proofErr w:type="spellEnd"/>
      <w:r w:rsidRPr="00303A6F">
        <w:rPr>
          <w:b w:val="0"/>
          <w:lang w:val="es-ES"/>
        </w:rPr>
        <w:t>.</w:t>
      </w:r>
    </w:p>
    <w:p w14:paraId="36EC039E" w14:textId="630FEDE4" w:rsidR="00A31DE7" w:rsidRPr="00303A6F" w:rsidRDefault="00A31DE7" w:rsidP="008F5C9A">
      <w:pPr>
        <w:pStyle w:val="Copytext-Intro"/>
        <w:ind w:right="1219"/>
        <w:jc w:val="both"/>
        <w:rPr>
          <w:b w:val="0"/>
          <w:lang w:val="es-ES"/>
        </w:rPr>
      </w:pPr>
      <w:r w:rsidRPr="00303A6F">
        <w:rPr>
          <w:b w:val="0"/>
          <w:lang w:val="es-ES"/>
        </w:rPr>
        <w:t xml:space="preserve">"Muchos operadores se enfrentan al reto de </w:t>
      </w:r>
      <w:r w:rsidR="008F5C9A" w:rsidRPr="00303A6F">
        <w:rPr>
          <w:b w:val="0"/>
          <w:lang w:val="es-ES"/>
        </w:rPr>
        <w:t>desplegar</w:t>
      </w:r>
      <w:r w:rsidRPr="00303A6F">
        <w:rPr>
          <w:b w:val="0"/>
          <w:lang w:val="es-ES"/>
        </w:rPr>
        <w:t xml:space="preserve"> infraestructura de carga sin conocer la fase final de desarrollo de sus instalaciones", afirma el Dr. Christian Maryska, responsable de la </w:t>
      </w:r>
      <w:r w:rsidR="008F5C9A" w:rsidRPr="00303A6F">
        <w:rPr>
          <w:b w:val="0"/>
          <w:lang w:val="es-ES"/>
        </w:rPr>
        <w:t>U</w:t>
      </w:r>
      <w:r w:rsidRPr="00303A6F">
        <w:rPr>
          <w:b w:val="0"/>
          <w:lang w:val="es-ES"/>
        </w:rPr>
        <w:t xml:space="preserve">nidad de Negocio de </w:t>
      </w:r>
      <w:r w:rsidR="008F5C9A" w:rsidRPr="00303A6F">
        <w:rPr>
          <w:b w:val="0"/>
          <w:lang w:val="es-ES"/>
        </w:rPr>
        <w:t xml:space="preserve">Energy &amp; Power </w:t>
      </w:r>
      <w:proofErr w:type="spellStart"/>
      <w:r w:rsidR="008F5C9A" w:rsidRPr="00303A6F">
        <w:rPr>
          <w:b w:val="0"/>
          <w:lang w:val="es-ES"/>
        </w:rPr>
        <w:t>Solutions</w:t>
      </w:r>
      <w:proofErr w:type="spellEnd"/>
      <w:r w:rsidR="008F5C9A" w:rsidRPr="00303A6F">
        <w:rPr>
          <w:b w:val="0"/>
          <w:lang w:val="es-ES"/>
        </w:rPr>
        <w:t xml:space="preserve"> </w:t>
      </w:r>
      <w:r w:rsidRPr="00303A6F">
        <w:rPr>
          <w:b w:val="0"/>
          <w:lang w:val="es-ES"/>
        </w:rPr>
        <w:t xml:space="preserve">en Rittal. "Aquí es donde las arquitecturas modulares </w:t>
      </w:r>
      <w:r w:rsidR="008F5C9A" w:rsidRPr="00303A6F">
        <w:rPr>
          <w:b w:val="0"/>
          <w:lang w:val="es-ES"/>
        </w:rPr>
        <w:t>cobran importancia</w:t>
      </w:r>
      <w:r w:rsidRPr="00303A6F">
        <w:rPr>
          <w:b w:val="0"/>
          <w:lang w:val="es-ES"/>
        </w:rPr>
        <w:t xml:space="preserve">. </w:t>
      </w:r>
      <w:r w:rsidR="008F5C9A" w:rsidRPr="00303A6F">
        <w:rPr>
          <w:b w:val="0"/>
          <w:lang w:val="es-ES"/>
        </w:rPr>
        <w:t>Permiten ampliar gradualmente la capacidad y los puntos de recarga, garantizando al mismo tiempo una integración fluida en los sistemas energéticos existentes.</w:t>
      </w:r>
      <w:r w:rsidRPr="00303A6F">
        <w:rPr>
          <w:b w:val="0"/>
          <w:lang w:val="es-ES"/>
        </w:rPr>
        <w:t xml:space="preserve"> </w:t>
      </w:r>
      <w:r w:rsidR="008F5C9A" w:rsidRPr="00303A6F">
        <w:rPr>
          <w:b w:val="0"/>
          <w:lang w:val="es-ES"/>
        </w:rPr>
        <w:t>En este sentido</w:t>
      </w:r>
      <w:r w:rsidRPr="00303A6F">
        <w:rPr>
          <w:b w:val="0"/>
          <w:lang w:val="es-ES"/>
        </w:rPr>
        <w:t xml:space="preserve">, </w:t>
      </w:r>
      <w:proofErr w:type="spellStart"/>
      <w:r w:rsidRPr="00303A6F">
        <w:rPr>
          <w:b w:val="0"/>
          <w:lang w:val="es-ES"/>
        </w:rPr>
        <w:t>EcoG</w:t>
      </w:r>
      <w:proofErr w:type="spellEnd"/>
      <w:r w:rsidRPr="00303A6F">
        <w:rPr>
          <w:b w:val="0"/>
          <w:lang w:val="es-ES"/>
        </w:rPr>
        <w:t xml:space="preserve"> es el socio ideal. "Necesitamos un alto grado de estandarización y una integración fluida entre</w:t>
      </w:r>
      <w:r w:rsidR="008F5C9A" w:rsidRPr="00303A6F">
        <w:rPr>
          <w:b w:val="0"/>
          <w:lang w:val="es-ES"/>
        </w:rPr>
        <w:t xml:space="preserve"> el</w:t>
      </w:r>
      <w:r w:rsidRPr="00303A6F">
        <w:rPr>
          <w:b w:val="0"/>
          <w:lang w:val="es-ES"/>
        </w:rPr>
        <w:t xml:space="preserve"> software y </w:t>
      </w:r>
      <w:r w:rsidR="008F5C9A" w:rsidRPr="00303A6F">
        <w:rPr>
          <w:b w:val="0"/>
          <w:lang w:val="es-ES"/>
        </w:rPr>
        <w:t xml:space="preserve">la ingeniería de </w:t>
      </w:r>
      <w:r w:rsidRPr="00303A6F">
        <w:rPr>
          <w:b w:val="0"/>
          <w:lang w:val="es-ES"/>
        </w:rPr>
        <w:t>sistemas para acelerar la urgente expansión de la infraestructura de carga."</w:t>
      </w:r>
    </w:p>
    <w:p w14:paraId="175394CD" w14:textId="693D1380" w:rsidR="00A31DE7" w:rsidRPr="00303A6F" w:rsidRDefault="00A31DE7" w:rsidP="008F5C9A">
      <w:pPr>
        <w:pStyle w:val="Copytext"/>
        <w:ind w:right="1219"/>
        <w:jc w:val="both"/>
        <w:rPr>
          <w:lang w:val="es-ES"/>
        </w:rPr>
      </w:pPr>
      <w:r w:rsidRPr="00303A6F">
        <w:rPr>
          <w:bCs w:val="0"/>
          <w:lang w:val="es-ES"/>
        </w:rPr>
        <w:t xml:space="preserve">Los resultados de la colaboración ya están disponibles. Juntos, Rittal y el proveedor tecnológico </w:t>
      </w:r>
      <w:proofErr w:type="spellStart"/>
      <w:r w:rsidRPr="00303A6F">
        <w:rPr>
          <w:bCs w:val="0"/>
          <w:lang w:val="es-ES"/>
        </w:rPr>
        <w:t>EcoG</w:t>
      </w:r>
      <w:proofErr w:type="spellEnd"/>
      <w:r w:rsidRPr="00303A6F">
        <w:rPr>
          <w:bCs w:val="0"/>
          <w:lang w:val="es-ES"/>
        </w:rPr>
        <w:t xml:space="preserve"> han desarrollado "</w:t>
      </w:r>
      <w:proofErr w:type="spellStart"/>
      <w:r w:rsidRPr="00303A6F">
        <w:rPr>
          <w:bCs w:val="0"/>
          <w:lang w:val="es-ES"/>
        </w:rPr>
        <w:t>Powerblock</w:t>
      </w:r>
      <w:proofErr w:type="spellEnd"/>
      <w:r w:rsidRPr="00303A6F">
        <w:rPr>
          <w:bCs w:val="0"/>
          <w:lang w:val="es-ES"/>
        </w:rPr>
        <w:t xml:space="preserve">", una plataforma </w:t>
      </w:r>
      <w:r w:rsidR="008F5C9A" w:rsidRPr="00303A6F">
        <w:rPr>
          <w:bCs w:val="0"/>
          <w:lang w:val="es-ES"/>
        </w:rPr>
        <w:t xml:space="preserve">de infraestructura </w:t>
      </w:r>
      <w:r w:rsidRPr="00303A6F">
        <w:rPr>
          <w:bCs w:val="0"/>
          <w:lang w:val="es-ES"/>
        </w:rPr>
        <w:t xml:space="preserve">modular diseñada para satisfacer estos requisitos. La solución permite </w:t>
      </w:r>
      <w:r w:rsidR="008F5C9A" w:rsidRPr="00303A6F">
        <w:rPr>
          <w:bCs w:val="0"/>
          <w:lang w:val="es-ES"/>
        </w:rPr>
        <w:t xml:space="preserve">ampliar </w:t>
      </w:r>
      <w:r w:rsidRPr="00303A6F">
        <w:rPr>
          <w:bCs w:val="0"/>
          <w:lang w:val="es-ES"/>
        </w:rPr>
        <w:t>gradual</w:t>
      </w:r>
      <w:r w:rsidR="008F5C9A" w:rsidRPr="00303A6F">
        <w:rPr>
          <w:bCs w:val="0"/>
          <w:lang w:val="es-ES"/>
        </w:rPr>
        <w:t>mente</w:t>
      </w:r>
      <w:r w:rsidRPr="00303A6F">
        <w:rPr>
          <w:bCs w:val="0"/>
          <w:lang w:val="es-ES"/>
        </w:rPr>
        <w:t xml:space="preserve"> la capacidad </w:t>
      </w:r>
      <w:r w:rsidR="008F5C9A" w:rsidRPr="00303A6F">
        <w:rPr>
          <w:bCs w:val="0"/>
          <w:lang w:val="es-ES"/>
        </w:rPr>
        <w:t>y los</w:t>
      </w:r>
      <w:r w:rsidRPr="00303A6F">
        <w:rPr>
          <w:bCs w:val="0"/>
          <w:lang w:val="es-ES"/>
        </w:rPr>
        <w:t xml:space="preserve"> puntos </w:t>
      </w:r>
      <w:r w:rsidRPr="00303A6F">
        <w:rPr>
          <w:bCs w:val="0"/>
          <w:lang w:val="es-ES"/>
        </w:rPr>
        <w:lastRenderedPageBreak/>
        <w:t xml:space="preserve">de carga, y </w:t>
      </w:r>
      <w:r w:rsidR="008F5C9A" w:rsidRPr="00303A6F">
        <w:rPr>
          <w:bCs w:val="0"/>
          <w:lang w:val="es-ES"/>
        </w:rPr>
        <w:t>facilita</w:t>
      </w:r>
      <w:r w:rsidRPr="00303A6F">
        <w:rPr>
          <w:bCs w:val="0"/>
          <w:lang w:val="es-ES"/>
        </w:rPr>
        <w:t xml:space="preserve"> la integración de componentes adicionales, como sistemas de gestión energética, sistemas de almacenamiento </w:t>
      </w:r>
      <w:r w:rsidR="008F5C9A" w:rsidRPr="00303A6F">
        <w:rPr>
          <w:bCs w:val="0"/>
          <w:lang w:val="es-ES"/>
        </w:rPr>
        <w:t>en</w:t>
      </w:r>
      <w:r w:rsidRPr="00303A6F">
        <w:rPr>
          <w:bCs w:val="0"/>
          <w:lang w:val="es-ES"/>
        </w:rPr>
        <w:t xml:space="preserve"> baterías o instalaciones fotovoltaicas.</w:t>
      </w:r>
    </w:p>
    <w:p w14:paraId="7C802C20" w14:textId="77777777" w:rsidR="00A31DE7" w:rsidRPr="008F5C9A" w:rsidRDefault="00A31DE7" w:rsidP="00A31DE7">
      <w:pPr>
        <w:pStyle w:val="Copytext"/>
        <w:rPr>
          <w:lang w:val="es-ES"/>
        </w:rPr>
      </w:pPr>
    </w:p>
    <w:p w14:paraId="5C29B58B" w14:textId="148F5575" w:rsidR="00A31DE7" w:rsidRPr="00303A6F" w:rsidRDefault="00A31DE7" w:rsidP="00303A6F">
      <w:pPr>
        <w:pStyle w:val="Copytext"/>
        <w:ind w:right="1219"/>
        <w:jc w:val="both"/>
        <w:rPr>
          <w:lang w:val="es-ES"/>
        </w:rPr>
      </w:pPr>
      <w:r w:rsidRPr="00303A6F">
        <w:rPr>
          <w:bCs w:val="0"/>
          <w:lang w:val="es-ES"/>
        </w:rPr>
        <w:t xml:space="preserve">A diferencia de la infraestructura de carga tradicional, </w:t>
      </w:r>
      <w:proofErr w:type="spellStart"/>
      <w:r w:rsidRPr="00303A6F">
        <w:rPr>
          <w:bCs w:val="0"/>
          <w:lang w:val="es-ES"/>
        </w:rPr>
        <w:t>Powerblock</w:t>
      </w:r>
      <w:proofErr w:type="spellEnd"/>
      <w:r w:rsidRPr="00303A6F">
        <w:rPr>
          <w:bCs w:val="0"/>
          <w:lang w:val="es-ES"/>
        </w:rPr>
        <w:t xml:space="preserve"> adopta un enfoque abierto y escalable. Los operadores pueden ajustar sus inversiones para satisfacer la demanda real y ampliar su infraestructura en consonancia con el crecimiento de sus flotas de vehículos. El diseño, que incorpora bloques de potencia situados detrás de los puntos de carga, también </w:t>
      </w:r>
      <w:r w:rsidR="00303A6F" w:rsidRPr="00303A6F">
        <w:rPr>
          <w:bCs w:val="0"/>
          <w:lang w:val="es-ES"/>
        </w:rPr>
        <w:t>incrementa</w:t>
      </w:r>
      <w:r w:rsidRPr="00303A6F">
        <w:rPr>
          <w:bCs w:val="0"/>
          <w:lang w:val="es-ES"/>
        </w:rPr>
        <w:t xml:space="preserve"> la flexibilidad física. Dado que un</w:t>
      </w:r>
      <w:r w:rsidR="00303A6F" w:rsidRPr="00303A6F">
        <w:rPr>
          <w:bCs w:val="0"/>
          <w:lang w:val="es-ES"/>
        </w:rPr>
        <w:t xml:space="preserve"> único</w:t>
      </w:r>
      <w:r w:rsidRPr="00303A6F">
        <w:rPr>
          <w:bCs w:val="0"/>
          <w:lang w:val="es-ES"/>
        </w:rPr>
        <w:t xml:space="preserve"> bloque de energía puede </w:t>
      </w:r>
      <w:r w:rsidR="00303A6F" w:rsidRPr="00303A6F">
        <w:rPr>
          <w:bCs w:val="0"/>
          <w:lang w:val="es-ES"/>
        </w:rPr>
        <w:t>alimentar</w:t>
      </w:r>
      <w:r w:rsidRPr="00303A6F">
        <w:rPr>
          <w:bCs w:val="0"/>
          <w:lang w:val="es-ES"/>
        </w:rPr>
        <w:t xml:space="preserve"> múltiples puntos de carga, ocupa menos espacio en aparcamientos</w:t>
      </w:r>
      <w:r w:rsidR="00303A6F" w:rsidRPr="00303A6F">
        <w:rPr>
          <w:bCs w:val="0"/>
          <w:lang w:val="es-ES"/>
        </w:rPr>
        <w:t xml:space="preserve"> donde el espacio disponible suele ser limitado</w:t>
      </w:r>
      <w:r w:rsidRPr="00303A6F">
        <w:rPr>
          <w:bCs w:val="0"/>
          <w:lang w:val="es-ES"/>
        </w:rPr>
        <w:t xml:space="preserve">. </w:t>
      </w:r>
      <w:r w:rsidR="00303A6F" w:rsidRPr="00303A6F">
        <w:rPr>
          <w:bCs w:val="0"/>
          <w:lang w:val="es-ES"/>
        </w:rPr>
        <w:t>La integración d</w:t>
      </w:r>
      <w:r w:rsidRPr="00303A6F">
        <w:rPr>
          <w:bCs w:val="0"/>
          <w:lang w:val="es-ES"/>
        </w:rPr>
        <w:t>e</w:t>
      </w:r>
      <w:r w:rsidR="00303A6F" w:rsidRPr="00303A6F">
        <w:rPr>
          <w:bCs w:val="0"/>
          <w:lang w:val="es-ES"/>
        </w:rPr>
        <w:t xml:space="preserve"> </w:t>
      </w:r>
      <w:proofErr w:type="spellStart"/>
      <w:r w:rsidRPr="00303A6F">
        <w:rPr>
          <w:bCs w:val="0"/>
          <w:lang w:val="es-ES"/>
        </w:rPr>
        <w:t>Powerblock</w:t>
      </w:r>
      <w:proofErr w:type="spellEnd"/>
      <w:r w:rsidRPr="00303A6F">
        <w:rPr>
          <w:bCs w:val="0"/>
          <w:lang w:val="es-ES"/>
        </w:rPr>
        <w:t xml:space="preserve"> como proyecto dentro de la plataforma </w:t>
      </w:r>
      <w:proofErr w:type="spellStart"/>
      <w:r w:rsidRPr="00303A6F">
        <w:rPr>
          <w:bCs w:val="0"/>
          <w:lang w:val="es-ES"/>
        </w:rPr>
        <w:t>Eplan</w:t>
      </w:r>
      <w:proofErr w:type="spellEnd"/>
      <w:r w:rsidRPr="00303A6F">
        <w:rPr>
          <w:bCs w:val="0"/>
          <w:lang w:val="es-ES"/>
        </w:rPr>
        <w:t xml:space="preserve"> garantiza rapidez y </w:t>
      </w:r>
      <w:r w:rsidR="00303A6F" w:rsidRPr="00303A6F">
        <w:rPr>
          <w:bCs w:val="0"/>
          <w:lang w:val="es-ES"/>
        </w:rPr>
        <w:t>una elevada</w:t>
      </w:r>
      <w:r w:rsidRPr="00303A6F">
        <w:rPr>
          <w:bCs w:val="0"/>
          <w:lang w:val="es-ES"/>
        </w:rPr>
        <w:t xml:space="preserve"> calidad de </w:t>
      </w:r>
      <w:r w:rsidR="00303A6F" w:rsidRPr="00303A6F">
        <w:rPr>
          <w:bCs w:val="0"/>
          <w:lang w:val="es-ES"/>
        </w:rPr>
        <w:t xml:space="preserve">los </w:t>
      </w:r>
      <w:r w:rsidRPr="00303A6F">
        <w:rPr>
          <w:bCs w:val="0"/>
          <w:lang w:val="es-ES"/>
        </w:rPr>
        <w:t xml:space="preserve">datos desde la </w:t>
      </w:r>
      <w:r w:rsidR="00303A6F" w:rsidRPr="00303A6F">
        <w:rPr>
          <w:bCs w:val="0"/>
          <w:lang w:val="es-ES"/>
        </w:rPr>
        <w:t>fase</w:t>
      </w:r>
      <w:r w:rsidRPr="00303A6F">
        <w:rPr>
          <w:bCs w:val="0"/>
          <w:lang w:val="es-ES"/>
        </w:rPr>
        <w:t xml:space="preserve"> de ingeniería. </w:t>
      </w:r>
    </w:p>
    <w:p w14:paraId="65082371" w14:textId="7BA45186" w:rsidR="00400BBE" w:rsidRPr="00E973CC" w:rsidRDefault="00A31DE7" w:rsidP="00A31DE7">
      <w:pPr>
        <w:pStyle w:val="Copytext-Intro"/>
        <w:rPr>
          <w:bCs/>
          <w:lang w:val="es-ES"/>
        </w:rPr>
      </w:pPr>
      <w:r w:rsidRPr="00E973CC">
        <w:rPr>
          <w:bCs/>
          <w:lang w:val="es-ES"/>
        </w:rPr>
        <w:t xml:space="preserve">La colaboración combina </w:t>
      </w:r>
      <w:r w:rsidR="00D40B6B" w:rsidRPr="00E973CC">
        <w:rPr>
          <w:bCs/>
          <w:lang w:val="es-ES"/>
        </w:rPr>
        <w:t xml:space="preserve">la experiencia en </w:t>
      </w:r>
      <w:r w:rsidRPr="00E973CC">
        <w:rPr>
          <w:bCs/>
          <w:lang w:val="es-ES"/>
        </w:rPr>
        <w:t xml:space="preserve">infraestructura y software. </w:t>
      </w:r>
    </w:p>
    <w:p w14:paraId="47268151" w14:textId="21E8B8A5" w:rsidR="00A31DE7" w:rsidRPr="00E973CC" w:rsidRDefault="00A31DE7" w:rsidP="00D40B6B">
      <w:pPr>
        <w:pStyle w:val="Copytext-Intro"/>
        <w:ind w:right="1219"/>
        <w:jc w:val="both"/>
        <w:rPr>
          <w:b w:val="0"/>
          <w:lang w:val="es-ES"/>
        </w:rPr>
      </w:pPr>
      <w:r w:rsidRPr="00E973CC">
        <w:rPr>
          <w:b w:val="0"/>
          <w:lang w:val="es-ES"/>
        </w:rPr>
        <w:t xml:space="preserve">Las dos empresas combinan la experiencia de Rittal en </w:t>
      </w:r>
      <w:r w:rsidR="00D40B6B" w:rsidRPr="00E973CC">
        <w:rPr>
          <w:b w:val="0"/>
          <w:lang w:val="es-ES"/>
        </w:rPr>
        <w:t>armarios</w:t>
      </w:r>
      <w:r w:rsidRPr="00E973CC">
        <w:rPr>
          <w:b w:val="0"/>
          <w:lang w:val="es-ES"/>
        </w:rPr>
        <w:t xml:space="preserve">, distribución </w:t>
      </w:r>
      <w:r w:rsidR="00803184" w:rsidRPr="009147DE">
        <w:rPr>
          <w:b w:val="0"/>
          <w:lang w:val="es-ES"/>
        </w:rPr>
        <w:t>de corriente</w:t>
      </w:r>
      <w:r w:rsidRPr="00E973CC">
        <w:rPr>
          <w:b w:val="0"/>
          <w:lang w:val="es-ES"/>
        </w:rPr>
        <w:t xml:space="preserve"> y </w:t>
      </w:r>
      <w:r w:rsidR="00D40B6B" w:rsidRPr="00E973CC">
        <w:rPr>
          <w:b w:val="0"/>
          <w:lang w:val="es-ES"/>
        </w:rPr>
        <w:t>climatización</w:t>
      </w:r>
      <w:r w:rsidRPr="00E973CC">
        <w:rPr>
          <w:b w:val="0"/>
          <w:lang w:val="es-ES"/>
        </w:rPr>
        <w:t xml:space="preserve"> con la experiencia en software de </w:t>
      </w:r>
      <w:proofErr w:type="spellStart"/>
      <w:r w:rsidRPr="00E973CC">
        <w:rPr>
          <w:b w:val="0"/>
          <w:lang w:val="es-ES"/>
        </w:rPr>
        <w:t>EcoG</w:t>
      </w:r>
      <w:proofErr w:type="spellEnd"/>
      <w:r w:rsidRPr="00E973CC">
        <w:rPr>
          <w:b w:val="0"/>
          <w:lang w:val="es-ES"/>
        </w:rPr>
        <w:t xml:space="preserve"> para ofrecer </w:t>
      </w:r>
      <w:r w:rsidR="00D40B6B" w:rsidRPr="00E973CC">
        <w:rPr>
          <w:b w:val="0"/>
          <w:lang w:val="es-ES"/>
        </w:rPr>
        <w:t>el máximo valor</w:t>
      </w:r>
      <w:r w:rsidRPr="00E973CC">
        <w:rPr>
          <w:b w:val="0"/>
          <w:lang w:val="es-ES"/>
        </w:rPr>
        <w:t xml:space="preserve"> a sus clientes. </w:t>
      </w:r>
      <w:r w:rsidR="00D40B6B" w:rsidRPr="00E973CC">
        <w:rPr>
          <w:b w:val="0"/>
          <w:lang w:val="es-ES"/>
        </w:rPr>
        <w:t>Durante</w:t>
      </w:r>
      <w:r w:rsidRPr="00E973CC">
        <w:rPr>
          <w:b w:val="0"/>
          <w:lang w:val="es-ES"/>
        </w:rPr>
        <w:t xml:space="preserve"> los últimos años, han trabajado estrechamente en el desarrollo de </w:t>
      </w:r>
      <w:proofErr w:type="spellStart"/>
      <w:r w:rsidRPr="00E973CC">
        <w:rPr>
          <w:b w:val="0"/>
          <w:lang w:val="es-ES"/>
        </w:rPr>
        <w:t>Powerblock</w:t>
      </w:r>
      <w:proofErr w:type="spellEnd"/>
      <w:r w:rsidRPr="00E973CC">
        <w:rPr>
          <w:b w:val="0"/>
          <w:lang w:val="es-ES"/>
        </w:rPr>
        <w:t xml:space="preserve">, así como en proyectos conjuntos </w:t>
      </w:r>
      <w:r w:rsidR="00D40B6B" w:rsidRPr="00E973CC">
        <w:rPr>
          <w:b w:val="0"/>
          <w:lang w:val="es-ES"/>
        </w:rPr>
        <w:t>con</w:t>
      </w:r>
      <w:r w:rsidRPr="00E973CC">
        <w:rPr>
          <w:b w:val="0"/>
          <w:lang w:val="es-ES"/>
        </w:rPr>
        <w:t xml:space="preserve"> clientes y </w:t>
      </w:r>
      <w:r w:rsidR="00D40B6B" w:rsidRPr="00E973CC">
        <w:rPr>
          <w:b w:val="0"/>
          <w:lang w:val="es-ES"/>
        </w:rPr>
        <w:t xml:space="preserve">en su participación </w:t>
      </w:r>
      <w:r w:rsidRPr="00E973CC">
        <w:rPr>
          <w:b w:val="0"/>
          <w:lang w:val="es-ES"/>
        </w:rPr>
        <w:t xml:space="preserve">en ferias </w:t>
      </w:r>
      <w:r w:rsidR="00D40B6B" w:rsidRPr="00E973CC">
        <w:rPr>
          <w:b w:val="0"/>
          <w:lang w:val="es-ES"/>
        </w:rPr>
        <w:t>del sector</w:t>
      </w:r>
      <w:r w:rsidRPr="00E973CC">
        <w:rPr>
          <w:b w:val="0"/>
          <w:lang w:val="es-ES"/>
        </w:rPr>
        <w:t xml:space="preserve">. Con la </w:t>
      </w:r>
      <w:r w:rsidR="00D40B6B" w:rsidRPr="00E973CC">
        <w:rPr>
          <w:b w:val="0"/>
          <w:lang w:val="es-ES"/>
        </w:rPr>
        <w:t>incorporación</w:t>
      </w:r>
      <w:r w:rsidRPr="00E973CC">
        <w:rPr>
          <w:b w:val="0"/>
          <w:lang w:val="es-ES"/>
        </w:rPr>
        <w:t xml:space="preserve"> de </w:t>
      </w:r>
      <w:proofErr w:type="spellStart"/>
      <w:r w:rsidRPr="00E973CC">
        <w:rPr>
          <w:b w:val="0"/>
          <w:lang w:val="es-ES"/>
        </w:rPr>
        <w:t>EcoG</w:t>
      </w:r>
      <w:proofErr w:type="spellEnd"/>
      <w:r w:rsidRPr="00E973CC">
        <w:rPr>
          <w:b w:val="0"/>
          <w:lang w:val="es-ES"/>
        </w:rPr>
        <w:t xml:space="preserve"> </w:t>
      </w:r>
      <w:r w:rsidR="00D40B6B" w:rsidRPr="00E973CC">
        <w:rPr>
          <w:b w:val="0"/>
          <w:lang w:val="es-ES"/>
        </w:rPr>
        <w:t>a</w:t>
      </w:r>
      <w:r w:rsidRPr="00E973CC">
        <w:rPr>
          <w:b w:val="0"/>
          <w:lang w:val="es-ES"/>
        </w:rPr>
        <w:t xml:space="preserve"> la </w:t>
      </w:r>
      <w:r w:rsidR="00790988">
        <w:rPr>
          <w:b w:val="0"/>
          <w:lang w:val="es-ES"/>
        </w:rPr>
        <w:t>r</w:t>
      </w:r>
      <w:r w:rsidRPr="00E973CC">
        <w:rPr>
          <w:b w:val="0"/>
          <w:lang w:val="es-ES"/>
        </w:rPr>
        <w:t xml:space="preserve">ed de </w:t>
      </w:r>
      <w:proofErr w:type="spellStart"/>
      <w:r w:rsidR="00790988">
        <w:rPr>
          <w:b w:val="0"/>
          <w:lang w:val="es-ES"/>
        </w:rPr>
        <w:t>p</w:t>
      </w:r>
      <w:r w:rsidR="00D40B6B" w:rsidRPr="00E973CC">
        <w:rPr>
          <w:b w:val="0"/>
          <w:lang w:val="es-ES"/>
        </w:rPr>
        <w:t>artners</w:t>
      </w:r>
      <w:proofErr w:type="spellEnd"/>
      <w:r w:rsidRPr="00E973CC">
        <w:rPr>
          <w:b w:val="0"/>
          <w:lang w:val="es-ES"/>
        </w:rPr>
        <w:t xml:space="preserve"> de Rittal, esta colaboración </w:t>
      </w:r>
      <w:r w:rsidR="00D40B6B" w:rsidRPr="00E973CC">
        <w:rPr>
          <w:b w:val="0"/>
          <w:lang w:val="es-ES"/>
        </w:rPr>
        <w:t>adquiere un carácter estratégico y</w:t>
      </w:r>
      <w:r w:rsidRPr="00E973CC">
        <w:rPr>
          <w:b w:val="0"/>
          <w:lang w:val="es-ES"/>
        </w:rPr>
        <w:t xml:space="preserve"> a largo plazo.</w:t>
      </w:r>
    </w:p>
    <w:p w14:paraId="2B3BE8E1" w14:textId="4E690CB8" w:rsidR="00A31DE7" w:rsidRPr="00790988" w:rsidRDefault="00A31DE7" w:rsidP="00C66DFF">
      <w:pPr>
        <w:pStyle w:val="Copytext-Intro"/>
        <w:ind w:right="1219"/>
        <w:jc w:val="both"/>
        <w:rPr>
          <w:b w:val="0"/>
          <w:lang w:val="es-ES"/>
        </w:rPr>
      </w:pPr>
      <w:r w:rsidRPr="00E973CC">
        <w:rPr>
          <w:b w:val="0"/>
          <w:lang w:val="es-ES"/>
        </w:rPr>
        <w:t xml:space="preserve">La </w:t>
      </w:r>
      <w:r w:rsidR="00790988">
        <w:rPr>
          <w:b w:val="0"/>
          <w:lang w:val="es-ES"/>
        </w:rPr>
        <w:t>r</w:t>
      </w:r>
      <w:r w:rsidRPr="00E973CC">
        <w:rPr>
          <w:b w:val="0"/>
          <w:lang w:val="es-ES"/>
        </w:rPr>
        <w:t xml:space="preserve">ed de </w:t>
      </w:r>
      <w:proofErr w:type="spellStart"/>
      <w:r w:rsidR="00790988">
        <w:rPr>
          <w:b w:val="0"/>
          <w:lang w:val="es-ES"/>
        </w:rPr>
        <w:t>p</w:t>
      </w:r>
      <w:r w:rsidR="00C66DFF" w:rsidRPr="00E973CC">
        <w:rPr>
          <w:b w:val="0"/>
          <w:lang w:val="es-ES"/>
        </w:rPr>
        <w:t>artners</w:t>
      </w:r>
      <w:proofErr w:type="spellEnd"/>
      <w:r w:rsidRPr="00E973CC">
        <w:rPr>
          <w:b w:val="0"/>
          <w:lang w:val="es-ES"/>
        </w:rPr>
        <w:t xml:space="preserve"> de Rittal </w:t>
      </w:r>
      <w:r w:rsidR="00C66DFF" w:rsidRPr="00E973CC">
        <w:rPr>
          <w:b w:val="0"/>
          <w:lang w:val="es-ES"/>
        </w:rPr>
        <w:t>reúne experiencia de distintos ámbitos tecnológicos para ofrecer a los clientes soluciones integradas para aplicaciones industriales y energéticas.</w:t>
      </w:r>
      <w:r w:rsidRPr="00E973CC">
        <w:rPr>
          <w:b w:val="0"/>
          <w:lang w:val="es-ES"/>
        </w:rPr>
        <w:t xml:space="preserve"> Como </w:t>
      </w:r>
      <w:proofErr w:type="spellStart"/>
      <w:r w:rsidR="00C66DFF" w:rsidRPr="00E973CC">
        <w:rPr>
          <w:b w:val="0"/>
          <w:lang w:val="es-ES"/>
        </w:rPr>
        <w:t>partner</w:t>
      </w:r>
      <w:proofErr w:type="spellEnd"/>
      <w:r w:rsidRPr="00E973CC">
        <w:rPr>
          <w:b w:val="0"/>
          <w:lang w:val="es-ES"/>
        </w:rPr>
        <w:t xml:space="preserve"> </w:t>
      </w:r>
      <w:r w:rsidR="00C66DFF" w:rsidRPr="00E973CC">
        <w:rPr>
          <w:b w:val="0"/>
          <w:lang w:val="es-ES"/>
        </w:rPr>
        <w:t>d</w:t>
      </w:r>
      <w:r w:rsidRPr="00E973CC">
        <w:rPr>
          <w:b w:val="0"/>
          <w:lang w:val="es-ES"/>
        </w:rPr>
        <w:t xml:space="preserve">el sector </w:t>
      </w:r>
      <w:r w:rsidR="00C66DFF" w:rsidRPr="00E973CC">
        <w:rPr>
          <w:b w:val="0"/>
          <w:lang w:val="es-ES"/>
        </w:rPr>
        <w:t>Energy &amp; Power,</w:t>
      </w:r>
      <w:r w:rsidRPr="00E973CC">
        <w:rPr>
          <w:b w:val="0"/>
          <w:lang w:val="es-ES"/>
        </w:rPr>
        <w:t xml:space="preserve"> </w:t>
      </w:r>
      <w:proofErr w:type="spellStart"/>
      <w:r w:rsidRPr="00E973CC">
        <w:rPr>
          <w:b w:val="0"/>
          <w:lang w:val="es-ES"/>
        </w:rPr>
        <w:t>EcoG</w:t>
      </w:r>
      <w:proofErr w:type="spellEnd"/>
      <w:r w:rsidRPr="00E973CC">
        <w:rPr>
          <w:b w:val="0"/>
          <w:lang w:val="es-ES"/>
        </w:rPr>
        <w:t xml:space="preserve"> está ampliando este ecosistema aportando su experiencia en el desarrollo y gestión de infraestructuras de carga</w:t>
      </w:r>
      <w:r w:rsidR="00C66DFF" w:rsidRPr="00E973CC">
        <w:rPr>
          <w:b w:val="0"/>
          <w:lang w:val="es-ES"/>
        </w:rPr>
        <w:t xml:space="preserve"> modernas</w:t>
      </w:r>
      <w:r w:rsidRPr="00E973CC">
        <w:rPr>
          <w:b w:val="0"/>
          <w:lang w:val="es-ES"/>
        </w:rPr>
        <w:t>.</w:t>
      </w:r>
    </w:p>
    <w:p w14:paraId="3461BB28" w14:textId="32A707DB" w:rsidR="00A31DE7" w:rsidRPr="00FB548B" w:rsidRDefault="004959D6" w:rsidP="00962C7F">
      <w:pPr>
        <w:pStyle w:val="Copytext-Intro"/>
        <w:rPr>
          <w:bCs/>
          <w:lang w:val="es-ES"/>
        </w:rPr>
      </w:pPr>
      <w:r w:rsidRPr="00FB548B">
        <w:rPr>
          <w:bCs/>
          <w:lang w:val="es-ES"/>
        </w:rPr>
        <w:t>Las cocheras</w:t>
      </w:r>
      <w:r w:rsidR="00A31DE7" w:rsidRPr="00FB548B">
        <w:rPr>
          <w:bCs/>
          <w:lang w:val="es-ES"/>
        </w:rPr>
        <w:t xml:space="preserve"> de camiones eléctricos como caso de uso clave</w:t>
      </w:r>
    </w:p>
    <w:p w14:paraId="2455C8F2" w14:textId="63ED1D86" w:rsidR="00A31DE7" w:rsidRPr="00E973CC" w:rsidRDefault="00A31DE7" w:rsidP="00751438">
      <w:pPr>
        <w:pStyle w:val="Copytext"/>
        <w:ind w:right="1219"/>
        <w:jc w:val="both"/>
        <w:rPr>
          <w:lang w:val="es-ES"/>
        </w:rPr>
      </w:pPr>
      <w:r w:rsidRPr="00FB548B">
        <w:rPr>
          <w:bCs w:val="0"/>
          <w:lang w:val="es-ES"/>
        </w:rPr>
        <w:t>Otro</w:t>
      </w:r>
      <w:r w:rsidR="00751438" w:rsidRPr="00FB548B">
        <w:rPr>
          <w:bCs w:val="0"/>
          <w:lang w:val="es-ES"/>
        </w:rPr>
        <w:t xml:space="preserve"> de los </w:t>
      </w:r>
      <w:r w:rsidRPr="00FB548B">
        <w:rPr>
          <w:bCs w:val="0"/>
          <w:lang w:val="es-ES"/>
        </w:rPr>
        <w:t>foco</w:t>
      </w:r>
      <w:r w:rsidR="00751438" w:rsidRPr="00FB548B">
        <w:rPr>
          <w:bCs w:val="0"/>
          <w:lang w:val="es-ES"/>
        </w:rPr>
        <w:t xml:space="preserve">s de las </w:t>
      </w:r>
      <w:r w:rsidRPr="00FB548B">
        <w:rPr>
          <w:bCs w:val="0"/>
          <w:lang w:val="es-ES"/>
        </w:rPr>
        <w:t xml:space="preserve">futuras actividades conjuntas será la infraestructura de carga para flotas de vehículos comerciales eléctricos. En particular, las soluciones </w:t>
      </w:r>
      <w:r w:rsidR="00DB2F91" w:rsidRPr="00FB548B">
        <w:rPr>
          <w:bCs w:val="0"/>
          <w:lang w:val="es-ES"/>
        </w:rPr>
        <w:t>para centros de recarga</w:t>
      </w:r>
      <w:r w:rsidRPr="00FB548B">
        <w:rPr>
          <w:bCs w:val="0"/>
          <w:lang w:val="es-ES"/>
        </w:rPr>
        <w:t xml:space="preserve"> están </w:t>
      </w:r>
      <w:r w:rsidR="00751438" w:rsidRPr="00FB548B">
        <w:rPr>
          <w:bCs w:val="0"/>
          <w:lang w:val="es-ES"/>
        </w:rPr>
        <w:t>adquiriendo</w:t>
      </w:r>
      <w:r w:rsidRPr="00FB548B">
        <w:rPr>
          <w:bCs w:val="0"/>
          <w:lang w:val="es-ES"/>
        </w:rPr>
        <w:t xml:space="preserve"> cada vez más importancia a medida que las empresas continúan electrificando sus flotas de transporte y logística. "</w:t>
      </w:r>
      <w:r w:rsidR="00DB2F91" w:rsidRPr="00FB548B">
        <w:rPr>
          <w:bCs w:val="0"/>
          <w:lang w:val="es-ES"/>
        </w:rPr>
        <w:t xml:space="preserve">La clave aquí es adoptar un enfoque integrado en lo que respecta a los puntos de recarga, el suministro eléctrico y la gestión energética. </w:t>
      </w:r>
      <w:r w:rsidR="00751438" w:rsidRPr="00FB548B">
        <w:rPr>
          <w:bCs w:val="0"/>
          <w:lang w:val="es-ES"/>
        </w:rPr>
        <w:t>Con</w:t>
      </w:r>
      <w:r w:rsidRPr="00FB548B">
        <w:rPr>
          <w:bCs w:val="0"/>
          <w:lang w:val="es-ES"/>
        </w:rPr>
        <w:t xml:space="preserve"> </w:t>
      </w:r>
      <w:proofErr w:type="spellStart"/>
      <w:r w:rsidRPr="00FB548B">
        <w:rPr>
          <w:bCs w:val="0"/>
          <w:lang w:val="es-ES"/>
        </w:rPr>
        <w:t>Powerblock</w:t>
      </w:r>
      <w:proofErr w:type="spellEnd"/>
      <w:r w:rsidR="00751438" w:rsidRPr="00FB548B">
        <w:rPr>
          <w:bCs w:val="0"/>
          <w:lang w:val="es-ES"/>
        </w:rPr>
        <w:t xml:space="preserve">, podemos ofrecer </w:t>
      </w:r>
      <w:r w:rsidRPr="00FB548B">
        <w:rPr>
          <w:bCs w:val="0"/>
          <w:lang w:val="es-ES"/>
        </w:rPr>
        <w:t xml:space="preserve">a nuestros clientes una solución </w:t>
      </w:r>
      <w:r w:rsidR="00751438" w:rsidRPr="00FB548B">
        <w:rPr>
          <w:bCs w:val="0"/>
          <w:lang w:val="es-ES"/>
        </w:rPr>
        <w:t>que se puede adaptar a instalaciones de diferentes</w:t>
      </w:r>
      <w:r w:rsidRPr="00E973CC">
        <w:rPr>
          <w:bCs w:val="0"/>
          <w:lang w:val="es-ES"/>
        </w:rPr>
        <w:t xml:space="preserve"> </w:t>
      </w:r>
      <w:r w:rsidRPr="00E973CC">
        <w:rPr>
          <w:bCs w:val="0"/>
          <w:lang w:val="es-ES"/>
        </w:rPr>
        <w:lastRenderedPageBreak/>
        <w:t>tamaños y necesidades de</w:t>
      </w:r>
      <w:r w:rsidR="00751438" w:rsidRPr="00E973CC">
        <w:rPr>
          <w:bCs w:val="0"/>
          <w:lang w:val="es-ES"/>
        </w:rPr>
        <w:t xml:space="preserve"> potencia</w:t>
      </w:r>
      <w:r w:rsidRPr="00E973CC">
        <w:rPr>
          <w:bCs w:val="0"/>
          <w:lang w:val="es-ES"/>
        </w:rPr>
        <w:t>,</w:t>
      </w:r>
      <w:r w:rsidR="00751438" w:rsidRPr="00E973CC">
        <w:rPr>
          <w:bCs w:val="0"/>
          <w:lang w:val="es-ES"/>
        </w:rPr>
        <w:t xml:space="preserve"> y</w:t>
      </w:r>
      <w:r w:rsidRPr="00E973CC">
        <w:rPr>
          <w:bCs w:val="0"/>
          <w:lang w:val="es-ES"/>
        </w:rPr>
        <w:t xml:space="preserve"> </w:t>
      </w:r>
      <w:proofErr w:type="gramStart"/>
      <w:r w:rsidRPr="00E973CC">
        <w:rPr>
          <w:bCs w:val="0"/>
          <w:lang w:val="es-ES"/>
        </w:rPr>
        <w:t>que</w:t>
      </w:r>
      <w:proofErr w:type="gramEnd"/>
      <w:r w:rsidR="00751438" w:rsidRPr="00E973CC">
        <w:rPr>
          <w:bCs w:val="0"/>
          <w:lang w:val="es-ES"/>
        </w:rPr>
        <w:t xml:space="preserve"> además,</w:t>
      </w:r>
      <w:r w:rsidRPr="00E973CC">
        <w:rPr>
          <w:bCs w:val="0"/>
          <w:lang w:val="es-ES"/>
        </w:rPr>
        <w:t xml:space="preserve"> permite una</w:t>
      </w:r>
      <w:r w:rsidR="00751438" w:rsidRPr="00E973CC">
        <w:rPr>
          <w:bCs w:val="0"/>
          <w:lang w:val="es-ES"/>
        </w:rPr>
        <w:t xml:space="preserve"> ampliación progresiva en función de la demanda</w:t>
      </w:r>
      <w:r w:rsidRPr="00E973CC">
        <w:rPr>
          <w:bCs w:val="0"/>
          <w:lang w:val="es-ES"/>
        </w:rPr>
        <w:t>", dice el Dr. Christian Maryska.</w:t>
      </w:r>
    </w:p>
    <w:p w14:paraId="5806E92B" w14:textId="6A9BD92A" w:rsidR="00A31DE7" w:rsidRPr="00962C7F" w:rsidRDefault="00A31DE7" w:rsidP="00962C7F">
      <w:pPr>
        <w:pStyle w:val="Copytext-Intro"/>
        <w:rPr>
          <w:bCs/>
          <w:lang w:val="es-ES"/>
        </w:rPr>
      </w:pPr>
      <w:r w:rsidRPr="00962C7F">
        <w:rPr>
          <w:bCs/>
          <w:lang w:val="es-ES"/>
        </w:rPr>
        <w:t>Participación conjunta en "</w:t>
      </w:r>
      <w:r w:rsidR="00751438" w:rsidRPr="00962C7F">
        <w:rPr>
          <w:bCs/>
          <w:lang w:val="es-ES"/>
        </w:rPr>
        <w:t xml:space="preserve">The </w:t>
      </w:r>
      <w:proofErr w:type="spellStart"/>
      <w:r w:rsidRPr="00962C7F">
        <w:rPr>
          <w:bCs/>
          <w:lang w:val="es-ES"/>
        </w:rPr>
        <w:t>Smarter</w:t>
      </w:r>
      <w:proofErr w:type="spellEnd"/>
      <w:r w:rsidRPr="00962C7F">
        <w:rPr>
          <w:bCs/>
          <w:lang w:val="es-ES"/>
        </w:rPr>
        <w:t xml:space="preserve"> E Europe"</w:t>
      </w:r>
    </w:p>
    <w:p w14:paraId="1124C8FE" w14:textId="22044B93" w:rsidR="00A31DE7" w:rsidRPr="00E973CC" w:rsidRDefault="00A31DE7" w:rsidP="00B3413F">
      <w:pPr>
        <w:pStyle w:val="Copytext"/>
        <w:ind w:right="1219"/>
        <w:jc w:val="both"/>
        <w:rPr>
          <w:lang w:val="es-ES"/>
        </w:rPr>
      </w:pPr>
      <w:r w:rsidRPr="00FB548B">
        <w:rPr>
          <w:bCs w:val="0"/>
          <w:lang w:val="es-ES"/>
        </w:rPr>
        <w:t xml:space="preserve">Rittal y </w:t>
      </w:r>
      <w:proofErr w:type="spellStart"/>
      <w:r w:rsidRPr="00FB548B">
        <w:rPr>
          <w:bCs w:val="0"/>
          <w:lang w:val="es-ES"/>
        </w:rPr>
        <w:t>EcoG</w:t>
      </w:r>
      <w:proofErr w:type="spellEnd"/>
      <w:r w:rsidRPr="00FB548B">
        <w:rPr>
          <w:bCs w:val="0"/>
          <w:lang w:val="es-ES"/>
        </w:rPr>
        <w:t xml:space="preserve"> </w:t>
      </w:r>
      <w:r w:rsidR="00751438" w:rsidRPr="00FB548B">
        <w:rPr>
          <w:bCs w:val="0"/>
          <w:lang w:val="es-ES"/>
        </w:rPr>
        <w:t>mostraron</w:t>
      </w:r>
      <w:r w:rsidRPr="00FB548B">
        <w:rPr>
          <w:bCs w:val="0"/>
          <w:lang w:val="es-ES"/>
        </w:rPr>
        <w:t xml:space="preserve"> cómo funciona realmente esta colaboración en el evento </w:t>
      </w:r>
      <w:r w:rsidR="00751438" w:rsidRPr="00FB548B">
        <w:rPr>
          <w:bCs w:val="0"/>
          <w:lang w:val="es-ES"/>
        </w:rPr>
        <w:t xml:space="preserve">The </w:t>
      </w:r>
      <w:proofErr w:type="spellStart"/>
      <w:r w:rsidRPr="00FB548B">
        <w:rPr>
          <w:bCs w:val="0"/>
          <w:lang w:val="es-ES"/>
        </w:rPr>
        <w:t>Smarter</w:t>
      </w:r>
      <w:proofErr w:type="spellEnd"/>
      <w:r w:rsidRPr="00FB548B">
        <w:rPr>
          <w:bCs w:val="0"/>
          <w:lang w:val="es-ES"/>
        </w:rPr>
        <w:t xml:space="preserve"> E Europe 2026, </w:t>
      </w:r>
      <w:r w:rsidR="00751438" w:rsidRPr="00FB548B">
        <w:rPr>
          <w:bCs w:val="0"/>
          <w:lang w:val="es-ES"/>
        </w:rPr>
        <w:t>celebrado</w:t>
      </w:r>
      <w:r w:rsidRPr="00FB548B">
        <w:rPr>
          <w:bCs w:val="0"/>
          <w:lang w:val="es-ES"/>
        </w:rPr>
        <w:t xml:space="preserve"> en Múnich del 23 al 25 de junio. Allí, </w:t>
      </w:r>
      <w:r w:rsidR="00751438" w:rsidRPr="00FB548B">
        <w:rPr>
          <w:bCs w:val="0"/>
          <w:lang w:val="es-ES"/>
        </w:rPr>
        <w:t>ambas</w:t>
      </w:r>
      <w:r w:rsidRPr="00FB548B">
        <w:rPr>
          <w:bCs w:val="0"/>
          <w:lang w:val="es-ES"/>
        </w:rPr>
        <w:t xml:space="preserve"> empresas </w:t>
      </w:r>
      <w:r w:rsidR="00751438" w:rsidRPr="00FB548B">
        <w:rPr>
          <w:bCs w:val="0"/>
          <w:lang w:val="es-ES"/>
        </w:rPr>
        <w:t>presentaron</w:t>
      </w:r>
      <w:r w:rsidRPr="00FB548B">
        <w:rPr>
          <w:bCs w:val="0"/>
          <w:lang w:val="es-ES"/>
        </w:rPr>
        <w:t xml:space="preserve"> </w:t>
      </w:r>
      <w:proofErr w:type="spellStart"/>
      <w:r w:rsidRPr="00FB548B">
        <w:rPr>
          <w:bCs w:val="0"/>
          <w:lang w:val="es-ES"/>
        </w:rPr>
        <w:t>Powerblock</w:t>
      </w:r>
      <w:proofErr w:type="spellEnd"/>
      <w:r w:rsidR="00751438" w:rsidRPr="00FB548B">
        <w:rPr>
          <w:bCs w:val="0"/>
          <w:lang w:val="es-ES"/>
        </w:rPr>
        <w:t>,</w:t>
      </w:r>
      <w:r w:rsidRPr="00FB548B">
        <w:rPr>
          <w:bCs w:val="0"/>
          <w:lang w:val="es-ES"/>
        </w:rPr>
        <w:t xml:space="preserve"> así como ejemplos concretos de soluciones de carga </w:t>
      </w:r>
      <w:r w:rsidR="00B3413F" w:rsidRPr="00FB548B">
        <w:rPr>
          <w:bCs w:val="0"/>
          <w:lang w:val="es-ES"/>
        </w:rPr>
        <w:t>en</w:t>
      </w:r>
      <w:r w:rsidRPr="00FB548B">
        <w:rPr>
          <w:bCs w:val="0"/>
          <w:lang w:val="es-ES"/>
        </w:rPr>
        <w:t xml:space="preserve"> </w:t>
      </w:r>
      <w:r w:rsidR="0082773C" w:rsidRPr="00FB548B">
        <w:rPr>
          <w:bCs w:val="0"/>
          <w:lang w:val="es-ES"/>
        </w:rPr>
        <w:t xml:space="preserve">cocheras </w:t>
      </w:r>
      <w:r w:rsidR="00B3413F" w:rsidRPr="00FB548B">
        <w:rPr>
          <w:bCs w:val="0"/>
          <w:lang w:val="es-ES"/>
        </w:rPr>
        <w:t>para</w:t>
      </w:r>
      <w:r w:rsidRPr="00FB548B">
        <w:rPr>
          <w:bCs w:val="0"/>
          <w:lang w:val="es-ES"/>
        </w:rPr>
        <w:t xml:space="preserve"> vehículos comerciales </w:t>
      </w:r>
      <w:r w:rsidR="00751438" w:rsidRPr="00FB548B">
        <w:rPr>
          <w:bCs w:val="0"/>
          <w:lang w:val="es-ES"/>
        </w:rPr>
        <w:t xml:space="preserve">eléctricos. </w:t>
      </w:r>
      <w:r w:rsidR="0082773C" w:rsidRPr="00FB548B">
        <w:rPr>
          <w:bCs w:val="0"/>
          <w:lang w:val="es-ES"/>
        </w:rPr>
        <w:t xml:space="preserve">En el stand de Rittal y </w:t>
      </w:r>
      <w:proofErr w:type="spellStart"/>
      <w:r w:rsidR="0082773C" w:rsidRPr="00FB548B">
        <w:rPr>
          <w:bCs w:val="0"/>
          <w:lang w:val="es-ES"/>
        </w:rPr>
        <w:t>Eplan</w:t>
      </w:r>
      <w:proofErr w:type="spellEnd"/>
      <w:r w:rsidR="0082773C" w:rsidRPr="00FB548B">
        <w:rPr>
          <w:bCs w:val="0"/>
          <w:lang w:val="es-ES"/>
        </w:rPr>
        <w:t xml:space="preserve">, y mediante una réplica de una cochera para vehículos eléctricos equipada con </w:t>
      </w:r>
      <w:proofErr w:type="spellStart"/>
      <w:r w:rsidR="0082773C" w:rsidRPr="00FB548B">
        <w:rPr>
          <w:bCs w:val="0"/>
          <w:lang w:val="es-ES"/>
        </w:rPr>
        <w:t>Powerblock</w:t>
      </w:r>
      <w:proofErr w:type="spellEnd"/>
      <w:r w:rsidR="0082773C" w:rsidRPr="00FB548B">
        <w:rPr>
          <w:bCs w:val="0"/>
          <w:lang w:val="es-ES"/>
        </w:rPr>
        <w:t xml:space="preserve"> y diversas opciones de dispensadores en el stand de </w:t>
      </w:r>
      <w:proofErr w:type="spellStart"/>
      <w:proofErr w:type="gramStart"/>
      <w:r w:rsidR="0082773C" w:rsidRPr="00FB548B">
        <w:rPr>
          <w:bCs w:val="0"/>
          <w:lang w:val="es-ES"/>
        </w:rPr>
        <w:t>EcoG</w:t>
      </w:r>
      <w:proofErr w:type="spellEnd"/>
      <w:r w:rsidR="0082773C" w:rsidRPr="00FB548B">
        <w:rPr>
          <w:bCs w:val="0"/>
          <w:lang w:val="es-ES"/>
        </w:rPr>
        <w:t>.</w:t>
      </w:r>
      <w:r w:rsidRPr="00FB548B">
        <w:rPr>
          <w:bCs w:val="0"/>
          <w:lang w:val="es-ES"/>
        </w:rPr>
        <w:t>.</w:t>
      </w:r>
      <w:proofErr w:type="gramEnd"/>
      <w:r w:rsidRPr="00FB548B">
        <w:rPr>
          <w:bCs w:val="0"/>
          <w:lang w:val="es-ES"/>
        </w:rPr>
        <w:t xml:space="preserve"> Los visitantes </w:t>
      </w:r>
      <w:r w:rsidR="00B3413F" w:rsidRPr="00FB548B">
        <w:rPr>
          <w:bCs w:val="0"/>
          <w:lang w:val="es-ES"/>
        </w:rPr>
        <w:t xml:space="preserve">descubrieron cómo </w:t>
      </w:r>
      <w:r w:rsidRPr="00FB548B">
        <w:rPr>
          <w:bCs w:val="0"/>
          <w:lang w:val="es-ES"/>
        </w:rPr>
        <w:t xml:space="preserve">integrar la infraestructura de carga en </w:t>
      </w:r>
      <w:r w:rsidR="00B3413F" w:rsidRPr="00FB548B">
        <w:rPr>
          <w:bCs w:val="0"/>
          <w:lang w:val="es-ES"/>
        </w:rPr>
        <w:t xml:space="preserve">los </w:t>
      </w:r>
      <w:r w:rsidRPr="00FB548B">
        <w:rPr>
          <w:bCs w:val="0"/>
          <w:lang w:val="es-ES"/>
        </w:rPr>
        <w:t xml:space="preserve">sistemas energéticos modernos y </w:t>
      </w:r>
      <w:r w:rsidR="00B3413F" w:rsidRPr="00FB548B">
        <w:rPr>
          <w:bCs w:val="0"/>
          <w:lang w:val="es-ES"/>
        </w:rPr>
        <w:t>conocieron</w:t>
      </w:r>
      <w:r w:rsidRPr="00FB548B">
        <w:rPr>
          <w:bCs w:val="0"/>
          <w:lang w:val="es-ES"/>
        </w:rPr>
        <w:t xml:space="preserve"> cómo</w:t>
      </w:r>
      <w:r w:rsidR="00B3413F" w:rsidRPr="00FB548B">
        <w:rPr>
          <w:bCs w:val="0"/>
          <w:lang w:val="es-ES"/>
        </w:rPr>
        <w:t xml:space="preserve"> combinar</w:t>
      </w:r>
      <w:r w:rsidRPr="00FB548B">
        <w:rPr>
          <w:bCs w:val="0"/>
          <w:lang w:val="es-ES"/>
        </w:rPr>
        <w:t xml:space="preserve"> la capacidad de carga, el suministro energético y futuras ampliaciones </w:t>
      </w:r>
      <w:r w:rsidR="00B3413F" w:rsidRPr="00FB548B">
        <w:rPr>
          <w:bCs w:val="0"/>
          <w:lang w:val="es-ES"/>
        </w:rPr>
        <w:t xml:space="preserve">dentro de una </w:t>
      </w:r>
      <w:r w:rsidRPr="00FB548B">
        <w:rPr>
          <w:bCs w:val="0"/>
          <w:lang w:val="es-ES"/>
        </w:rPr>
        <w:t>arquitectura de infraestructura modular.</w:t>
      </w:r>
      <w:r w:rsidRPr="00E973CC">
        <w:rPr>
          <w:bCs w:val="0"/>
          <w:lang w:val="es-ES"/>
        </w:rPr>
        <w:t xml:space="preserve"> </w:t>
      </w:r>
    </w:p>
    <w:p w14:paraId="4B3F73C4" w14:textId="77777777" w:rsidR="00A31DE7" w:rsidRPr="00E973CC" w:rsidRDefault="00A31DE7" w:rsidP="00A31DE7">
      <w:pPr>
        <w:pStyle w:val="Copytext"/>
        <w:rPr>
          <w:lang w:val="es-ES"/>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A31DE7" w:rsidRPr="00803184" w14:paraId="30AF8B02" w14:textId="77777777" w:rsidTr="00725143">
        <w:trPr>
          <w:trHeight w:hRule="exact" w:val="2494"/>
        </w:trPr>
        <w:tc>
          <w:tcPr>
            <w:tcW w:w="3685" w:type="dxa"/>
            <w:tcMar>
              <w:left w:w="0" w:type="dxa"/>
              <w:right w:w="0" w:type="dxa"/>
            </w:tcMar>
            <w:vAlign w:val="bottom"/>
          </w:tcPr>
          <w:p w14:paraId="5C490895" w14:textId="77777777" w:rsidR="00A31DE7" w:rsidRPr="00E973CC" w:rsidRDefault="00A31DE7" w:rsidP="00725143">
            <w:pPr>
              <w:pStyle w:val="Bu-Bildanker"/>
              <w:ind w:left="0"/>
              <w:rPr>
                <w:lang w:val="es-ES"/>
              </w:rPr>
            </w:pPr>
            <w:r w:rsidRPr="00E973CC">
              <w:rPr>
                <w:bCs w:val="0"/>
                <w:noProof/>
                <w:lang w:val="es-ES"/>
              </w:rPr>
              <w:drawing>
                <wp:anchor distT="0" distB="0" distL="114300" distR="114300" simplePos="0" relativeHeight="251658240" behindDoc="0" locked="0" layoutInCell="1" allowOverlap="1" wp14:anchorId="0C734A2B" wp14:editId="609E35CB">
                  <wp:simplePos x="0" y="0"/>
                  <wp:positionH relativeFrom="column">
                    <wp:posOffset>40005</wp:posOffset>
                  </wp:positionH>
                  <wp:positionV relativeFrom="paragraph">
                    <wp:posOffset>-1315085</wp:posOffset>
                  </wp:positionV>
                  <wp:extent cx="2299970" cy="1546860"/>
                  <wp:effectExtent l="0" t="0" r="5080" b="0"/>
                  <wp:wrapNone/>
                  <wp:docPr id="496589172" name="Grafik 1" descr="Una imagen que incluye ropa, persona, sonrisa, mensaje.&#10;&#10;El contenido generado por IA puede ser ine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89172" name="Grafik 1" descr="Ein Bild, das Kleidung, Person, Lächeln, Text enthält.&#10;&#10;KI-generierte Inhalte können fehlerhaft sein."/>
                          <pic:cNvPicPr/>
                        </pic:nvPicPr>
                        <pic:blipFill>
                          <a:blip r:embed="rId11"/>
                          <a:stretch>
                            <a:fillRect/>
                          </a:stretch>
                        </pic:blipFill>
                        <pic:spPr>
                          <a:xfrm>
                            <a:off x="0" y="0"/>
                            <a:ext cx="2299970" cy="1546860"/>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78DB28EC" w14:textId="77777777" w:rsidR="00A31DE7" w:rsidRPr="00E973CC" w:rsidRDefault="00A31DE7" w:rsidP="00725143">
            <w:pPr>
              <w:pStyle w:val="Bu-Bildanker"/>
              <w:rPr>
                <w:lang w:val="es-ES"/>
              </w:rPr>
            </w:pPr>
          </w:p>
        </w:tc>
        <w:tc>
          <w:tcPr>
            <w:tcW w:w="3685" w:type="dxa"/>
            <w:tcMar>
              <w:left w:w="0" w:type="dxa"/>
              <w:right w:w="0" w:type="dxa"/>
            </w:tcMar>
          </w:tcPr>
          <w:p w14:paraId="0ABDDC0D" w14:textId="118BD4C8" w:rsidR="00A31DE7" w:rsidRPr="00E973CC" w:rsidRDefault="00250111" w:rsidP="00725143">
            <w:pPr>
              <w:pStyle w:val="Bu-Bildanker"/>
              <w:ind w:left="0"/>
              <w:rPr>
                <w:lang w:val="es-ES"/>
              </w:rPr>
            </w:pPr>
            <w:r w:rsidRPr="00E973CC">
              <w:rPr>
                <w:noProof/>
                <w:lang w:val="es-ES"/>
              </w:rPr>
              <w:drawing>
                <wp:anchor distT="0" distB="0" distL="114300" distR="114300" simplePos="0" relativeHeight="251658241" behindDoc="0" locked="0" layoutInCell="1" allowOverlap="1" wp14:anchorId="62C2585B" wp14:editId="0E67BD25">
                  <wp:simplePos x="0" y="0"/>
                  <wp:positionH relativeFrom="column">
                    <wp:posOffset>13487</wp:posOffset>
                  </wp:positionH>
                  <wp:positionV relativeFrom="paragraph">
                    <wp:posOffset>58421</wp:posOffset>
                  </wp:positionV>
                  <wp:extent cx="2133665" cy="1499616"/>
                  <wp:effectExtent l="0" t="0" r="0" b="5715"/>
                  <wp:wrapNone/>
                  <wp:docPr id="1466906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39837" cy="1503954"/>
                          </a:xfrm>
                          <a:prstGeom prst="rect">
                            <a:avLst/>
                          </a:prstGeom>
                          <a:noFill/>
                        </pic:spPr>
                      </pic:pic>
                    </a:graphicData>
                  </a:graphic>
                  <wp14:sizeRelH relativeFrom="margin">
                    <wp14:pctWidth>0</wp14:pctWidth>
                  </wp14:sizeRelH>
                  <wp14:sizeRelV relativeFrom="margin">
                    <wp14:pctHeight>0</wp14:pctHeight>
                  </wp14:sizeRelV>
                </wp:anchor>
              </w:drawing>
            </w:r>
          </w:p>
        </w:tc>
      </w:tr>
      <w:tr w:rsidR="00A31DE7" w:rsidRPr="00FB548B" w14:paraId="0478B067" w14:textId="77777777" w:rsidTr="00725143">
        <w:tc>
          <w:tcPr>
            <w:tcW w:w="3685" w:type="dxa"/>
            <w:tcMar>
              <w:left w:w="0" w:type="dxa"/>
              <w:right w:w="0" w:type="dxa"/>
            </w:tcMar>
          </w:tcPr>
          <w:p w14:paraId="59748C9D" w14:textId="77777777" w:rsidR="00A31DE7" w:rsidRPr="00E973CC" w:rsidRDefault="00A31DE7" w:rsidP="00B3413F">
            <w:pPr>
              <w:pStyle w:val="BU-Head"/>
              <w:jc w:val="both"/>
              <w:rPr>
                <w:lang w:val="es-ES"/>
              </w:rPr>
            </w:pPr>
            <w:r w:rsidRPr="00E973CC">
              <w:rPr>
                <w:lang w:val="es-ES"/>
              </w:rPr>
              <w:t>Pie de foto</w:t>
            </w:r>
          </w:p>
          <w:p w14:paraId="67434869" w14:textId="77777777" w:rsidR="00A31DE7" w:rsidRPr="00E973CC" w:rsidRDefault="00A31DE7" w:rsidP="00B3413F">
            <w:pPr>
              <w:pStyle w:val="BU"/>
              <w:jc w:val="both"/>
              <w:rPr>
                <w:spacing w:val="-5"/>
                <w:lang w:val="es-ES"/>
              </w:rPr>
            </w:pPr>
            <w:r w:rsidRPr="00E973CC">
              <w:rPr>
                <w:bCs w:val="0"/>
                <w:lang w:val="es-ES"/>
              </w:rPr>
              <w:t xml:space="preserve">Alianza para una infraestructura de carga rápida y modular: Verena Freund de Rittal, Veronika Dickert de </w:t>
            </w:r>
            <w:proofErr w:type="spellStart"/>
            <w:r w:rsidRPr="00E973CC">
              <w:rPr>
                <w:bCs w:val="0"/>
                <w:lang w:val="es-ES"/>
              </w:rPr>
              <w:t>EcoG</w:t>
            </w:r>
            <w:proofErr w:type="spellEnd"/>
            <w:r w:rsidRPr="00E973CC">
              <w:rPr>
                <w:bCs w:val="0"/>
                <w:lang w:val="es-ES"/>
              </w:rPr>
              <w:t xml:space="preserve"> y Kaja Milberg de Rittal (de izquierda a derecha)</w:t>
            </w:r>
          </w:p>
        </w:tc>
        <w:tc>
          <w:tcPr>
            <w:tcW w:w="283" w:type="dxa"/>
            <w:tcMar>
              <w:left w:w="0" w:type="dxa"/>
              <w:right w:w="0" w:type="dxa"/>
            </w:tcMar>
          </w:tcPr>
          <w:p w14:paraId="1B3DDB22" w14:textId="77777777" w:rsidR="00A31DE7" w:rsidRPr="00FB548B" w:rsidRDefault="00A31DE7" w:rsidP="00725143">
            <w:pPr>
              <w:pStyle w:val="Copytext"/>
              <w:rPr>
                <w:lang w:val="es-ES"/>
              </w:rPr>
            </w:pPr>
          </w:p>
        </w:tc>
        <w:tc>
          <w:tcPr>
            <w:tcW w:w="3685" w:type="dxa"/>
            <w:tcMar>
              <w:left w:w="0" w:type="dxa"/>
              <w:right w:w="0" w:type="dxa"/>
            </w:tcMar>
          </w:tcPr>
          <w:p w14:paraId="2F0C6BEA" w14:textId="77777777" w:rsidR="00A31DE7" w:rsidRPr="00FB548B" w:rsidRDefault="00A31DE7" w:rsidP="00B3413F">
            <w:pPr>
              <w:pStyle w:val="BU-Head"/>
              <w:jc w:val="both"/>
              <w:rPr>
                <w:lang w:val="es-ES"/>
              </w:rPr>
            </w:pPr>
            <w:r w:rsidRPr="00FB548B">
              <w:rPr>
                <w:lang w:val="es-ES"/>
              </w:rPr>
              <w:t>Pie de foto</w:t>
            </w:r>
          </w:p>
          <w:p w14:paraId="0A94AB34" w14:textId="00BE74A4" w:rsidR="00A31DE7" w:rsidRPr="00FB548B" w:rsidRDefault="00D92D66" w:rsidP="00B3413F">
            <w:pPr>
              <w:pStyle w:val="BU"/>
              <w:jc w:val="both"/>
              <w:rPr>
                <w:lang w:val="es-ES"/>
              </w:rPr>
            </w:pPr>
            <w:r w:rsidRPr="00FB548B">
              <w:rPr>
                <w:lang w:val="es-ES"/>
              </w:rPr>
              <w:t xml:space="preserve">Infraestructura de carga para aplicaciones escalables en parques de carga, </w:t>
            </w:r>
            <w:r w:rsidR="004959D6" w:rsidRPr="00FB548B">
              <w:rPr>
                <w:lang w:val="es-ES"/>
              </w:rPr>
              <w:t>cocheras</w:t>
            </w:r>
            <w:r w:rsidRPr="00FB548B">
              <w:rPr>
                <w:lang w:val="es-ES"/>
              </w:rPr>
              <w:t xml:space="preserve"> de camiones eléctricos y </w:t>
            </w:r>
            <w:r w:rsidR="00B3413F" w:rsidRPr="00FB548B">
              <w:rPr>
                <w:lang w:val="es-ES"/>
              </w:rPr>
              <w:t>emplazamientos</w:t>
            </w:r>
            <w:r w:rsidRPr="00FB548B">
              <w:rPr>
                <w:lang w:val="es-ES"/>
              </w:rPr>
              <w:t xml:space="preserve"> de flotas: como plataforma modular de infraestructura,"</w:t>
            </w:r>
            <w:proofErr w:type="spellStart"/>
            <w:r w:rsidRPr="00FB548B">
              <w:rPr>
                <w:lang w:val="es-ES"/>
              </w:rPr>
              <w:t>Powerblock</w:t>
            </w:r>
            <w:proofErr w:type="spellEnd"/>
            <w:r w:rsidRPr="00FB548B">
              <w:rPr>
                <w:lang w:val="es-ES"/>
              </w:rPr>
              <w:t xml:space="preserve">" combina la tecnología de sistemas de Rittal para </w:t>
            </w:r>
            <w:r w:rsidR="00B3413F" w:rsidRPr="00FB548B">
              <w:rPr>
                <w:lang w:val="es-ES"/>
              </w:rPr>
              <w:t>armarios</w:t>
            </w:r>
            <w:r w:rsidRPr="00FB548B">
              <w:rPr>
                <w:lang w:val="es-ES"/>
              </w:rPr>
              <w:t xml:space="preserve">, distribución </w:t>
            </w:r>
            <w:r w:rsidR="00B3413F" w:rsidRPr="00FB548B">
              <w:rPr>
                <w:lang w:val="es-ES"/>
              </w:rPr>
              <w:t>de corriente</w:t>
            </w:r>
            <w:r w:rsidRPr="00FB548B">
              <w:rPr>
                <w:lang w:val="es-ES"/>
              </w:rPr>
              <w:t xml:space="preserve"> y c</w:t>
            </w:r>
            <w:r w:rsidR="00B3413F" w:rsidRPr="00FB548B">
              <w:rPr>
                <w:lang w:val="es-ES"/>
              </w:rPr>
              <w:t>limatización</w:t>
            </w:r>
            <w:r w:rsidRPr="00FB548B">
              <w:rPr>
                <w:lang w:val="es-ES"/>
              </w:rPr>
              <w:t xml:space="preserve"> con la experiencia en software de </w:t>
            </w:r>
            <w:proofErr w:type="spellStart"/>
            <w:r w:rsidRPr="00FB548B">
              <w:rPr>
                <w:lang w:val="es-ES"/>
              </w:rPr>
              <w:t>EcoG</w:t>
            </w:r>
            <w:proofErr w:type="spellEnd"/>
            <w:r w:rsidRPr="00FB548B">
              <w:rPr>
                <w:lang w:val="es-ES"/>
              </w:rPr>
              <w:t>.</w:t>
            </w:r>
          </w:p>
        </w:tc>
      </w:tr>
    </w:tbl>
    <w:p w14:paraId="25140FF9" w14:textId="77777777" w:rsidR="00A31DE7" w:rsidRPr="00E973CC" w:rsidRDefault="00A31DE7" w:rsidP="00A31DE7">
      <w:pPr>
        <w:pStyle w:val="BU"/>
        <w:rPr>
          <w:lang w:val="es-ES"/>
        </w:rPr>
      </w:pPr>
    </w:p>
    <w:p w14:paraId="0DB591E9" w14:textId="2D1557F8" w:rsidR="00A31DE7" w:rsidRPr="00E973CC" w:rsidRDefault="005E31B2" w:rsidP="00A31DE7">
      <w:pPr>
        <w:pStyle w:val="BU"/>
        <w:rPr>
          <w:lang w:val="es-ES"/>
        </w:rPr>
      </w:pPr>
      <w:r w:rsidRPr="00E973CC">
        <w:rPr>
          <w:bCs w:val="0"/>
          <w:lang w:val="es-ES"/>
        </w:rPr>
        <w:t>Puede reproducirse de forma gratuita. Por favor, indique a Rittal GmbH &amp; Co. KG como fuente.</w:t>
      </w:r>
    </w:p>
    <w:p w14:paraId="09AB51F1" w14:textId="77777777" w:rsidR="00A31DE7" w:rsidRPr="008F5C9A" w:rsidRDefault="00A31DE7" w:rsidP="00A31DE7">
      <w:pPr>
        <w:pStyle w:val="Unternehmensportrait-H2"/>
        <w:rPr>
          <w:sz w:val="20"/>
          <w:lang w:val="es-ES"/>
        </w:rPr>
      </w:pPr>
      <w:r w:rsidRPr="00803184">
        <w:rPr>
          <w:lang w:val="es-ES"/>
        </w:rPr>
        <w:br w:type="page"/>
      </w:r>
    </w:p>
    <w:p w14:paraId="367572D6" w14:textId="6EB01C83" w:rsidR="00B92417" w:rsidRPr="008F5C9A" w:rsidRDefault="00B92417" w:rsidP="00B92417">
      <w:pPr>
        <w:pStyle w:val="Unternehmensportrait-H1"/>
        <w:rPr>
          <w:lang w:val="es-ES"/>
        </w:rPr>
      </w:pPr>
      <w:r w:rsidRPr="00803184">
        <w:rPr>
          <w:lang w:val="es-ES"/>
        </w:rPr>
        <w:lastRenderedPageBreak/>
        <w:t xml:space="preserve">Acerca de </w:t>
      </w:r>
      <w:proofErr w:type="spellStart"/>
      <w:r w:rsidRPr="00803184">
        <w:rPr>
          <w:lang w:val="es-ES"/>
        </w:rPr>
        <w:t>EcoG</w:t>
      </w:r>
      <w:proofErr w:type="spellEnd"/>
    </w:p>
    <w:p w14:paraId="0CA1F289" w14:textId="77777777" w:rsidR="00B0012D" w:rsidRPr="008F5C9A" w:rsidRDefault="00B0012D" w:rsidP="00B92417">
      <w:pPr>
        <w:pStyle w:val="Unternehmensportrait-H1"/>
        <w:pBdr>
          <w:top w:val="single" w:sz="12" w:space="1" w:color="auto"/>
          <w:bottom w:val="single" w:sz="12" w:space="1" w:color="auto"/>
        </w:pBdr>
        <w:spacing w:line="240" w:lineRule="auto"/>
        <w:rPr>
          <w:b w:val="0"/>
          <w:sz w:val="8"/>
          <w:szCs w:val="8"/>
          <w:lang w:val="es-ES"/>
        </w:rPr>
      </w:pPr>
    </w:p>
    <w:p w14:paraId="5512201A" w14:textId="413440AD" w:rsidR="0030636B" w:rsidRPr="008F5C9A" w:rsidRDefault="00B92417" w:rsidP="00B3413F">
      <w:pPr>
        <w:pStyle w:val="Unternehmensportrait-H1"/>
        <w:pBdr>
          <w:top w:val="single" w:sz="12" w:space="1" w:color="auto"/>
          <w:bottom w:val="single" w:sz="12" w:space="1" w:color="auto"/>
        </w:pBdr>
        <w:spacing w:line="240" w:lineRule="auto"/>
        <w:ind w:right="1219"/>
        <w:jc w:val="both"/>
        <w:rPr>
          <w:lang w:val="es-ES"/>
        </w:rPr>
      </w:pPr>
      <w:proofErr w:type="spellStart"/>
      <w:r w:rsidRPr="00803184">
        <w:rPr>
          <w:b w:val="0"/>
          <w:sz w:val="16"/>
          <w:szCs w:val="20"/>
          <w:lang w:val="es-ES"/>
        </w:rPr>
        <w:t>EcoG</w:t>
      </w:r>
      <w:proofErr w:type="spellEnd"/>
      <w:r w:rsidRPr="00803184">
        <w:rPr>
          <w:b w:val="0"/>
          <w:sz w:val="16"/>
          <w:szCs w:val="20"/>
          <w:lang w:val="es-ES"/>
        </w:rPr>
        <w:t xml:space="preserve"> es una empresa líder en tecnología B2B para infraestructura de carga de vehículos eléctricos, con ubicaciones en Múnich, Detroit (EE. UU.) y Pune (India). La empresa ofrece, entre otras cosas, diseños de referencia y un sistema operativo estandarizado para la infraestructura de carga, y ofrece una de las plataformas de más rápido crecimiento del mundo para fabricantes de estaciones de carga rápida. Con la plataforma </w:t>
      </w:r>
      <w:proofErr w:type="spellStart"/>
      <w:r w:rsidRPr="00803184">
        <w:rPr>
          <w:b w:val="0"/>
          <w:sz w:val="16"/>
          <w:szCs w:val="20"/>
          <w:lang w:val="es-ES"/>
        </w:rPr>
        <w:t>EcoG</w:t>
      </w:r>
      <w:proofErr w:type="spellEnd"/>
      <w:r w:rsidRPr="00803184">
        <w:rPr>
          <w:b w:val="0"/>
          <w:sz w:val="16"/>
          <w:szCs w:val="20"/>
          <w:lang w:val="es-ES"/>
        </w:rPr>
        <w:t xml:space="preserve"> OS, los fabricantes pueden producir infraestructuras de carga de forma eficiente y los operadores pueden integrar de forma óptima sus parques de carga en los procesos empresariales, desde flotas de turismos hasta grandes centros logísticos y de carga para camiones. </w:t>
      </w:r>
      <w:proofErr w:type="spellStart"/>
      <w:r w:rsidRPr="00803184">
        <w:rPr>
          <w:b w:val="0"/>
          <w:sz w:val="16"/>
          <w:szCs w:val="20"/>
          <w:lang w:val="es-ES"/>
        </w:rPr>
        <w:t>EcoG</w:t>
      </w:r>
      <w:proofErr w:type="spellEnd"/>
      <w:r w:rsidRPr="00803184">
        <w:rPr>
          <w:b w:val="0"/>
          <w:sz w:val="16"/>
          <w:szCs w:val="20"/>
          <w:lang w:val="es-ES"/>
        </w:rPr>
        <w:t xml:space="preserve"> es un líder tecnológico con más de 25.000 sistemas desplegados en todo el mundo </w:t>
      </w:r>
      <w:proofErr w:type="spellStart"/>
      <w:r w:rsidRPr="00803184">
        <w:rPr>
          <w:b w:val="0"/>
          <w:sz w:val="16"/>
          <w:szCs w:val="20"/>
          <w:lang w:val="es-ES"/>
        </w:rPr>
        <w:t>y</w:t>
      </w:r>
      <w:proofErr w:type="spellEnd"/>
      <w:r w:rsidRPr="00803184">
        <w:rPr>
          <w:b w:val="0"/>
          <w:sz w:val="16"/>
          <w:szCs w:val="20"/>
          <w:lang w:val="es-ES"/>
        </w:rPr>
        <w:t xml:space="preserve"> impulsa la estandarización para cargas bidireccionales y de megavatios, entre otros. Recibió el Premio Alemán a la Innovación y posee alrededor del 15% de cuota de mercado en Europa y del 11% en India. Entre sus clientes se encuentran Siemens, ABB, Valeo y Dover </w:t>
      </w:r>
      <w:proofErr w:type="spellStart"/>
      <w:r w:rsidRPr="00803184">
        <w:rPr>
          <w:b w:val="0"/>
          <w:sz w:val="16"/>
          <w:szCs w:val="20"/>
          <w:lang w:val="es-ES"/>
        </w:rPr>
        <w:t>Fueling</w:t>
      </w:r>
      <w:proofErr w:type="spellEnd"/>
      <w:r w:rsidRPr="00803184">
        <w:rPr>
          <w:b w:val="0"/>
          <w:sz w:val="16"/>
          <w:szCs w:val="20"/>
          <w:lang w:val="es-ES"/>
        </w:rPr>
        <w:t xml:space="preserve"> </w:t>
      </w:r>
      <w:proofErr w:type="spellStart"/>
      <w:r w:rsidRPr="00803184">
        <w:rPr>
          <w:b w:val="0"/>
          <w:sz w:val="16"/>
          <w:szCs w:val="20"/>
          <w:lang w:val="es-ES"/>
        </w:rPr>
        <w:t>Solutions</w:t>
      </w:r>
      <w:proofErr w:type="spellEnd"/>
      <w:r w:rsidRPr="00803184">
        <w:rPr>
          <w:b w:val="0"/>
          <w:sz w:val="16"/>
          <w:szCs w:val="20"/>
          <w:lang w:val="es-ES"/>
        </w:rPr>
        <w:t xml:space="preserve"> – el mayor proveedor de equipos para gasolineras en Estados Unidos – así como otros socios internacionales.</w:t>
      </w:r>
      <w:r w:rsidRPr="00803184">
        <w:rPr>
          <w:b w:val="0"/>
          <w:sz w:val="16"/>
          <w:szCs w:val="20"/>
          <w:lang w:val="es-ES"/>
        </w:rPr>
        <w:br/>
      </w:r>
      <w:r w:rsidRPr="00803184">
        <w:rPr>
          <w:lang w:val="es-ES"/>
        </w:rPr>
        <w:br/>
      </w:r>
      <w:r w:rsidR="00684EAC" w:rsidRPr="00803184">
        <w:rPr>
          <w:lang w:val="es-ES"/>
        </w:rPr>
        <w:t>Sobre Rittal</w:t>
      </w:r>
    </w:p>
    <w:p w14:paraId="6D4E7878" w14:textId="77777777" w:rsidR="00B0012D" w:rsidRPr="008F5C9A" w:rsidRDefault="00B0012D" w:rsidP="00B3413F">
      <w:pPr>
        <w:widowControl/>
        <w:kinsoku w:val="0"/>
        <w:overflowPunct w:val="0"/>
        <w:autoSpaceDE/>
        <w:autoSpaceDN/>
        <w:adjustRightInd/>
        <w:spacing w:line="200" w:lineRule="exact"/>
        <w:ind w:right="1219"/>
        <w:jc w:val="both"/>
        <w:rPr>
          <w:bCs/>
          <w:color w:val="000000" w:themeColor="text1"/>
          <w:sz w:val="8"/>
          <w:szCs w:val="8"/>
          <w:lang w:val="es-ES"/>
        </w:rPr>
      </w:pPr>
    </w:p>
    <w:p w14:paraId="2351F908" w14:textId="3BE22266" w:rsidR="00770261" w:rsidRPr="008F5C9A" w:rsidRDefault="00770261" w:rsidP="00B3413F">
      <w:pPr>
        <w:widowControl/>
        <w:kinsoku w:val="0"/>
        <w:overflowPunct w:val="0"/>
        <w:autoSpaceDE/>
        <w:autoSpaceDN/>
        <w:adjustRightInd/>
        <w:spacing w:after="200" w:line="200" w:lineRule="exact"/>
        <w:ind w:right="1219"/>
        <w:jc w:val="both"/>
        <w:rPr>
          <w:bCs/>
          <w:color w:val="000000" w:themeColor="text1"/>
          <w:sz w:val="16"/>
          <w:szCs w:val="20"/>
          <w:lang w:val="es-ES"/>
        </w:rPr>
      </w:pPr>
      <w:r w:rsidRPr="00803184">
        <w:rPr>
          <w:bCs/>
          <w:color w:val="000000" w:themeColor="text1"/>
          <w:sz w:val="16"/>
          <w:szCs w:val="20"/>
          <w:lang w:val="es-ES"/>
        </w:rPr>
        <w:t>Rittal es un proveedor global líder de sistemas de recubrimientos, automatización e infraestructuras con sus unidades industriales, de TI, energía y energía, refrigeración y servicio. Los productos Rittal se utilizan en más del 90% de las industrias globales: estandarizados, personalizados y siempre de la mejor calidad.</w:t>
      </w:r>
    </w:p>
    <w:p w14:paraId="1ACB5BAF" w14:textId="1E377629" w:rsidR="00770261" w:rsidRPr="008F5C9A" w:rsidRDefault="00770261" w:rsidP="00B3413F">
      <w:pPr>
        <w:widowControl/>
        <w:kinsoku w:val="0"/>
        <w:overflowPunct w:val="0"/>
        <w:autoSpaceDE/>
        <w:autoSpaceDN/>
        <w:adjustRightInd/>
        <w:spacing w:after="200" w:line="200" w:lineRule="exact"/>
        <w:ind w:right="1219"/>
        <w:jc w:val="both"/>
        <w:rPr>
          <w:bCs/>
          <w:color w:val="000000" w:themeColor="text1"/>
          <w:sz w:val="16"/>
          <w:szCs w:val="20"/>
          <w:lang w:val="es-ES"/>
        </w:rPr>
      </w:pPr>
      <w:r w:rsidRPr="00803184">
        <w:rPr>
          <w:bCs/>
          <w:color w:val="000000" w:themeColor="text1"/>
          <w:sz w:val="16"/>
          <w:szCs w:val="20"/>
          <w:lang w:val="es-ES"/>
        </w:rPr>
        <w:t xml:space="preserve">Nuestro enfoque y metodología: Rittal, Rittal Software </w:t>
      </w:r>
      <w:proofErr w:type="spellStart"/>
      <w:r w:rsidRPr="00803184">
        <w:rPr>
          <w:bCs/>
          <w:color w:val="000000" w:themeColor="text1"/>
          <w:sz w:val="16"/>
          <w:szCs w:val="20"/>
          <w:lang w:val="es-ES"/>
        </w:rPr>
        <w:t>Systems</w:t>
      </w:r>
      <w:proofErr w:type="spellEnd"/>
      <w:r w:rsidRPr="00803184">
        <w:rPr>
          <w:bCs/>
          <w:color w:val="000000" w:themeColor="text1"/>
          <w:sz w:val="16"/>
          <w:szCs w:val="20"/>
          <w:lang w:val="es-ES"/>
        </w:rPr>
        <w:t xml:space="preserve"> (</w:t>
      </w:r>
      <w:proofErr w:type="spellStart"/>
      <w:r w:rsidRPr="00803184">
        <w:rPr>
          <w:bCs/>
          <w:color w:val="000000" w:themeColor="text1"/>
          <w:sz w:val="16"/>
          <w:szCs w:val="20"/>
          <w:lang w:val="es-ES"/>
        </w:rPr>
        <w:t>Eplan</w:t>
      </w:r>
      <w:proofErr w:type="spellEnd"/>
      <w:r w:rsidRPr="00803184">
        <w:rPr>
          <w:bCs/>
          <w:color w:val="000000" w:themeColor="text1"/>
          <w:sz w:val="16"/>
          <w:szCs w:val="20"/>
          <w:lang w:val="es-ES"/>
        </w:rPr>
        <w:t xml:space="preserve"> y </w:t>
      </w:r>
      <w:proofErr w:type="spellStart"/>
      <w:r w:rsidRPr="00803184">
        <w:rPr>
          <w:bCs/>
          <w:color w:val="000000" w:themeColor="text1"/>
          <w:sz w:val="16"/>
          <w:szCs w:val="20"/>
          <w:lang w:val="es-ES"/>
        </w:rPr>
        <w:t>Cideon</w:t>
      </w:r>
      <w:proofErr w:type="spellEnd"/>
      <w:r w:rsidRPr="00803184">
        <w:rPr>
          <w:bCs/>
          <w:color w:val="000000" w:themeColor="text1"/>
          <w:sz w:val="16"/>
          <w:szCs w:val="20"/>
          <w:lang w:val="es-ES"/>
        </w:rPr>
        <w:t xml:space="preserve">) y Rittal </w:t>
      </w:r>
      <w:proofErr w:type="spellStart"/>
      <w:r w:rsidRPr="00803184">
        <w:rPr>
          <w:bCs/>
          <w:color w:val="000000" w:themeColor="text1"/>
          <w:sz w:val="16"/>
          <w:szCs w:val="20"/>
          <w:lang w:val="es-ES"/>
        </w:rPr>
        <w:t>Automation</w:t>
      </w:r>
      <w:proofErr w:type="spellEnd"/>
      <w:r w:rsidRPr="00803184">
        <w:rPr>
          <w:bCs/>
          <w:color w:val="000000" w:themeColor="text1"/>
          <w:sz w:val="16"/>
          <w:szCs w:val="20"/>
          <w:lang w:val="es-ES"/>
        </w:rPr>
        <w:t xml:space="preserve"> </w:t>
      </w:r>
      <w:proofErr w:type="spellStart"/>
      <w:r w:rsidRPr="00803184">
        <w:rPr>
          <w:bCs/>
          <w:color w:val="000000" w:themeColor="text1"/>
          <w:sz w:val="16"/>
          <w:szCs w:val="20"/>
          <w:lang w:val="es-ES"/>
        </w:rPr>
        <w:t>Systems</w:t>
      </w:r>
      <w:proofErr w:type="spellEnd"/>
      <w:r w:rsidRPr="00803184">
        <w:rPr>
          <w:bCs/>
          <w:color w:val="000000" w:themeColor="text1"/>
          <w:sz w:val="16"/>
          <w:szCs w:val="20"/>
          <w:lang w:val="es-ES"/>
        </w:rPr>
        <w:t xml:space="preserve"> (RAS, </w:t>
      </w:r>
      <w:proofErr w:type="spellStart"/>
      <w:r w:rsidRPr="00803184">
        <w:rPr>
          <w:bCs/>
          <w:color w:val="000000" w:themeColor="text1"/>
          <w:sz w:val="16"/>
          <w:szCs w:val="20"/>
          <w:lang w:val="es-ES"/>
        </w:rPr>
        <w:t>Ehrt</w:t>
      </w:r>
      <w:proofErr w:type="spellEnd"/>
      <w:r w:rsidRPr="00803184">
        <w:rPr>
          <w:bCs/>
          <w:color w:val="000000" w:themeColor="text1"/>
          <w:sz w:val="16"/>
          <w:szCs w:val="20"/>
          <w:lang w:val="es-ES"/>
        </w:rPr>
        <w:t xml:space="preserve"> y Alfra) combinan su experiencia en hardware y software para optimizar, digitalizar y optimizar procesos a lo largo de toda la cadena de valor para nuestros clientes, incluyendo su infraestructura informática – desde el control y la construcción de equipos de conmutación, la construcción de maquinaria hasta los operadores de fábricas o el sector energético.</w:t>
      </w:r>
    </w:p>
    <w:p w14:paraId="06890FC3" w14:textId="77777777" w:rsidR="00770261" w:rsidRPr="008F5C9A" w:rsidRDefault="00770261" w:rsidP="00B3413F">
      <w:pPr>
        <w:widowControl/>
        <w:kinsoku w:val="0"/>
        <w:overflowPunct w:val="0"/>
        <w:autoSpaceDE/>
        <w:autoSpaceDN/>
        <w:adjustRightInd/>
        <w:spacing w:after="200" w:line="200" w:lineRule="exact"/>
        <w:ind w:right="1219"/>
        <w:jc w:val="both"/>
        <w:rPr>
          <w:bCs/>
          <w:color w:val="000000" w:themeColor="text1"/>
          <w:sz w:val="16"/>
          <w:szCs w:val="20"/>
          <w:lang w:val="es-ES"/>
        </w:rPr>
      </w:pPr>
      <w:r w:rsidRPr="00803184">
        <w:rPr>
          <w:bCs/>
          <w:color w:val="000000" w:themeColor="text1"/>
          <w:sz w:val="16"/>
          <w:szCs w:val="20"/>
          <w:lang w:val="es-ES"/>
        </w:rPr>
        <w:t>Nuestra promesa de entrega: los productos estándar de Rittal se entregan en Alemania en 24 horas y en 48 horas en toda Europa.</w:t>
      </w:r>
    </w:p>
    <w:p w14:paraId="532E4E62" w14:textId="77777777" w:rsidR="00770261" w:rsidRPr="008F5C9A" w:rsidRDefault="00770261" w:rsidP="00B3413F">
      <w:pPr>
        <w:widowControl/>
        <w:kinsoku w:val="0"/>
        <w:overflowPunct w:val="0"/>
        <w:autoSpaceDE/>
        <w:autoSpaceDN/>
        <w:adjustRightInd/>
        <w:spacing w:before="200" w:line="200" w:lineRule="exact"/>
        <w:ind w:right="1219"/>
        <w:jc w:val="both"/>
        <w:rPr>
          <w:b/>
          <w:bCs/>
          <w:color w:val="000000" w:themeColor="text1"/>
          <w:sz w:val="16"/>
          <w:szCs w:val="28"/>
          <w:lang w:val="es-ES"/>
        </w:rPr>
      </w:pPr>
      <w:r w:rsidRPr="00803184">
        <w:rPr>
          <w:b/>
          <w:bCs/>
          <w:color w:val="000000" w:themeColor="text1"/>
          <w:sz w:val="16"/>
          <w:szCs w:val="28"/>
          <w:lang w:val="es-ES"/>
        </w:rPr>
        <w:t>Enfoque en el cliente</w:t>
      </w:r>
    </w:p>
    <w:p w14:paraId="3281D554" w14:textId="77777777" w:rsidR="00770261" w:rsidRPr="008F5C9A" w:rsidRDefault="00770261" w:rsidP="00B3413F">
      <w:pPr>
        <w:widowControl/>
        <w:kinsoku w:val="0"/>
        <w:overflowPunct w:val="0"/>
        <w:autoSpaceDE/>
        <w:autoSpaceDN/>
        <w:adjustRightInd/>
        <w:spacing w:after="200" w:line="200" w:lineRule="exact"/>
        <w:ind w:right="1219"/>
        <w:jc w:val="both"/>
        <w:rPr>
          <w:bCs/>
          <w:color w:val="000000" w:themeColor="text1"/>
          <w:sz w:val="16"/>
          <w:szCs w:val="20"/>
          <w:lang w:val="es-ES"/>
        </w:rPr>
      </w:pPr>
      <w:r w:rsidRPr="00803184">
        <w:rPr>
          <w:bCs/>
          <w:color w:val="000000" w:themeColor="text1"/>
          <w:sz w:val="16"/>
          <w:szCs w:val="20"/>
          <w:lang w:val="es-ES"/>
        </w:rPr>
        <w:t>Mejorar la eficiencia y aumentar la productividad mediante la automatización y la digitalización es uno de los mayores retos para nuestros clientes. Esto requiere un conocimiento y experiencia profundos, la combinación de hardware y software, y redes intersectoriales. Estamos convencidos de que crear y conectar salas de datos es crucial para el éxito de la transformación industrial. Y esa es precisamente nuestra especialidad y campo de competencia.</w:t>
      </w:r>
    </w:p>
    <w:p w14:paraId="39E1B52F" w14:textId="0F59DEB2" w:rsidR="00770261" w:rsidRPr="008F5C9A" w:rsidRDefault="00770261" w:rsidP="00B3413F">
      <w:pPr>
        <w:widowControl/>
        <w:kinsoku w:val="0"/>
        <w:overflowPunct w:val="0"/>
        <w:autoSpaceDE/>
        <w:autoSpaceDN/>
        <w:adjustRightInd/>
        <w:spacing w:after="200" w:line="200" w:lineRule="exact"/>
        <w:ind w:right="1219"/>
        <w:jc w:val="both"/>
        <w:rPr>
          <w:bCs/>
          <w:color w:val="000000" w:themeColor="text1"/>
          <w:sz w:val="16"/>
          <w:szCs w:val="20"/>
          <w:lang w:val="es-ES"/>
        </w:rPr>
      </w:pPr>
      <w:proofErr w:type="spellStart"/>
      <w:r w:rsidRPr="00803184">
        <w:rPr>
          <w:bCs/>
          <w:color w:val="000000" w:themeColor="text1"/>
          <w:sz w:val="16"/>
          <w:szCs w:val="20"/>
          <w:lang w:val="es-ES"/>
        </w:rPr>
        <w:t>Eplan</w:t>
      </w:r>
      <w:proofErr w:type="spellEnd"/>
      <w:r w:rsidRPr="00803184">
        <w:rPr>
          <w:bCs/>
          <w:color w:val="000000" w:themeColor="text1"/>
          <w:sz w:val="16"/>
          <w:szCs w:val="20"/>
          <w:lang w:val="es-ES"/>
        </w:rPr>
        <w:t xml:space="preserve"> y Rittal están impulsando el desarrollo del gemelo de automatización digital, haciendo que los datos sean accesibles y utilizables también en operaciones. </w:t>
      </w:r>
      <w:proofErr w:type="spellStart"/>
      <w:r w:rsidRPr="00803184">
        <w:rPr>
          <w:bCs/>
          <w:color w:val="000000" w:themeColor="text1"/>
          <w:sz w:val="16"/>
          <w:szCs w:val="20"/>
          <w:lang w:val="es-ES"/>
        </w:rPr>
        <w:t>Cideon</w:t>
      </w:r>
      <w:proofErr w:type="spellEnd"/>
      <w:r w:rsidRPr="00803184">
        <w:rPr>
          <w:bCs/>
          <w:color w:val="000000" w:themeColor="text1"/>
          <w:sz w:val="16"/>
          <w:szCs w:val="20"/>
          <w:lang w:val="es-ES"/>
        </w:rPr>
        <w:t xml:space="preserve"> está mejorando la consistencia de datos en el contexto del gemelo digital de productos con su experiencia en CAD/CAM, PDM/PLM y configuración de productos.</w:t>
      </w:r>
    </w:p>
    <w:p w14:paraId="22F0925C" w14:textId="77777777" w:rsidR="00770261" w:rsidRPr="008F5C9A" w:rsidRDefault="00770261" w:rsidP="00B3413F">
      <w:pPr>
        <w:widowControl/>
        <w:kinsoku w:val="0"/>
        <w:overflowPunct w:val="0"/>
        <w:autoSpaceDE/>
        <w:autoSpaceDN/>
        <w:adjustRightInd/>
        <w:spacing w:before="200" w:line="200" w:lineRule="exact"/>
        <w:ind w:right="1219"/>
        <w:jc w:val="both"/>
        <w:rPr>
          <w:b/>
          <w:bCs/>
          <w:color w:val="000000" w:themeColor="text1"/>
          <w:sz w:val="16"/>
          <w:szCs w:val="28"/>
          <w:lang w:val="es-ES"/>
        </w:rPr>
      </w:pPr>
      <w:r w:rsidRPr="00803184">
        <w:rPr>
          <w:b/>
          <w:bCs/>
          <w:color w:val="000000" w:themeColor="text1"/>
          <w:sz w:val="16"/>
          <w:szCs w:val="28"/>
          <w:lang w:val="es-ES"/>
        </w:rPr>
        <w:t>Sostenibilidad</w:t>
      </w:r>
    </w:p>
    <w:p w14:paraId="022B9570" w14:textId="77777777" w:rsidR="00770261" w:rsidRPr="008F5C9A" w:rsidRDefault="00770261" w:rsidP="00B3413F">
      <w:pPr>
        <w:widowControl/>
        <w:kinsoku w:val="0"/>
        <w:overflowPunct w:val="0"/>
        <w:autoSpaceDE/>
        <w:autoSpaceDN/>
        <w:adjustRightInd/>
        <w:spacing w:after="200" w:line="200" w:lineRule="exact"/>
        <w:ind w:right="1219"/>
        <w:jc w:val="both"/>
        <w:rPr>
          <w:bCs/>
          <w:color w:val="000000" w:themeColor="text1"/>
          <w:sz w:val="16"/>
          <w:szCs w:val="20"/>
          <w:lang w:val="es-ES"/>
        </w:rPr>
      </w:pPr>
      <w:r w:rsidRPr="00803184">
        <w:rPr>
          <w:bCs/>
          <w:color w:val="000000" w:themeColor="text1"/>
          <w:sz w:val="16"/>
          <w:szCs w:val="20"/>
          <w:lang w:val="es-ES"/>
        </w:rPr>
        <w:t>La protección medioambiental y climática, el compromiso social y la gestión corporativa ética son algo garantizado para Rittal. Nos tomamos muy en serio nuestra responsabilidad por un futuro sostenible. Nuestro enfoque de gestión y conservación de recursos implica la mejora continua de nuestros propios procesos de producción y garantizar que nuestros productos tengan la huella de carbono de producto más baja posible. Nuestras soluciones apoyan a nuestros clientes en el cumplimiento de sus propios objetivos climáticos.</w:t>
      </w:r>
    </w:p>
    <w:p w14:paraId="5D109E23" w14:textId="77777777" w:rsidR="00770261" w:rsidRPr="00303A6F" w:rsidRDefault="00770261" w:rsidP="00B3413F">
      <w:pPr>
        <w:widowControl/>
        <w:kinsoku w:val="0"/>
        <w:overflowPunct w:val="0"/>
        <w:autoSpaceDE/>
        <w:autoSpaceDN/>
        <w:adjustRightInd/>
        <w:spacing w:before="200" w:line="200" w:lineRule="exact"/>
        <w:ind w:right="1219"/>
        <w:jc w:val="both"/>
        <w:rPr>
          <w:b/>
          <w:bCs/>
          <w:color w:val="000000" w:themeColor="text1"/>
          <w:sz w:val="16"/>
          <w:szCs w:val="28"/>
          <w:lang w:val="es-ES"/>
        </w:rPr>
      </w:pPr>
      <w:r w:rsidRPr="00803184">
        <w:rPr>
          <w:b/>
          <w:bCs/>
          <w:color w:val="000000" w:themeColor="text1"/>
          <w:sz w:val="16"/>
          <w:szCs w:val="28"/>
          <w:lang w:val="es-ES"/>
        </w:rPr>
        <w:t>Negocio familiar y actor global</w:t>
      </w:r>
    </w:p>
    <w:p w14:paraId="618F8440" w14:textId="4F29C15C" w:rsidR="00770261" w:rsidRPr="008F5C9A" w:rsidRDefault="00770261" w:rsidP="00B3413F">
      <w:pPr>
        <w:widowControl/>
        <w:kinsoku w:val="0"/>
        <w:overflowPunct w:val="0"/>
        <w:autoSpaceDE/>
        <w:autoSpaceDN/>
        <w:adjustRightInd/>
        <w:spacing w:after="200" w:line="200" w:lineRule="exact"/>
        <w:ind w:right="1219"/>
        <w:jc w:val="both"/>
        <w:rPr>
          <w:bCs/>
          <w:color w:val="000000" w:themeColor="text1"/>
          <w:sz w:val="16"/>
          <w:szCs w:val="20"/>
          <w:lang w:val="es-ES"/>
        </w:rPr>
      </w:pPr>
      <w:r w:rsidRPr="00803184">
        <w:rPr>
          <w:bCs/>
          <w:color w:val="000000" w:themeColor="text1"/>
          <w:sz w:val="16"/>
          <w:szCs w:val="20"/>
          <w:lang w:val="es-ES"/>
        </w:rPr>
        <w:t xml:space="preserve">Fundada en 1961, Rittal es la mayor empresa del grupo Friedhelm Loh, gestionado por sus propietarios. El grupo opera a nivel mundial, con 13 centros de producción y 94 filiales internacionales. Cuenta con más de 12.900 empleados y registró unos ingresos de 3.200 millones de euros en el ejercicio fiscal 2025. En 2023, el Grupo Friedhelm Loh recibió los premios "Mejor Lugar para Aprender" y "Empleador del Futuro". En 2026, Rittal fue galardonada con el Top 100 Seal como una de las empresas medianas más innovadoras de Alemania por quinta vez consecutiva. En 2025, la planta de Rittal en </w:t>
      </w:r>
      <w:proofErr w:type="spellStart"/>
      <w:r w:rsidRPr="00803184">
        <w:rPr>
          <w:bCs/>
          <w:color w:val="000000" w:themeColor="text1"/>
          <w:sz w:val="16"/>
          <w:szCs w:val="20"/>
          <w:lang w:val="es-ES"/>
        </w:rPr>
        <w:t>Haiger</w:t>
      </w:r>
      <w:proofErr w:type="spellEnd"/>
      <w:r w:rsidRPr="00803184">
        <w:rPr>
          <w:bCs/>
          <w:color w:val="000000" w:themeColor="text1"/>
          <w:sz w:val="16"/>
          <w:szCs w:val="20"/>
          <w:lang w:val="es-ES"/>
        </w:rPr>
        <w:t xml:space="preserve"> ganó el primer puesto general en el concurso independiente y prestigioso "Fábrica del Año", que la reconoció como un símbolo de excelencia manufacturera y una de las mejores fábricas de Europa.</w:t>
      </w:r>
    </w:p>
    <w:p w14:paraId="39763639" w14:textId="61507117" w:rsidR="00A73C13" w:rsidRPr="00B3413F" w:rsidRDefault="00770261" w:rsidP="00B3413F">
      <w:pPr>
        <w:widowControl/>
        <w:kinsoku w:val="0"/>
        <w:overflowPunct w:val="0"/>
        <w:autoSpaceDE/>
        <w:autoSpaceDN/>
        <w:adjustRightInd/>
        <w:spacing w:line="200" w:lineRule="exact"/>
        <w:ind w:right="1219"/>
        <w:jc w:val="both"/>
        <w:rPr>
          <w:bCs/>
          <w:color w:val="000000" w:themeColor="text1"/>
          <w:sz w:val="16"/>
          <w:szCs w:val="20"/>
          <w:lang w:val="es-ES"/>
        </w:rPr>
      </w:pPr>
      <w:r w:rsidRPr="00803184">
        <w:rPr>
          <w:bCs/>
          <w:color w:val="000000" w:themeColor="text1"/>
          <w:sz w:val="16"/>
          <w:szCs w:val="20"/>
          <w:lang w:val="es-ES"/>
        </w:rPr>
        <w:t xml:space="preserve">Para más información, visita </w:t>
      </w:r>
      <w:hyperlink r:id="rId13" w:history="1">
        <w:r w:rsidRPr="00803184">
          <w:rPr>
            <w:bCs/>
            <w:color w:val="000000" w:themeColor="text1"/>
            <w:sz w:val="16"/>
            <w:szCs w:val="20"/>
            <w:lang w:val="es-ES"/>
          </w:rPr>
          <w:t>www.rittal.com</w:t>
        </w:r>
      </w:hyperlink>
      <w:r w:rsidRPr="00803184">
        <w:rPr>
          <w:bCs/>
          <w:color w:val="000000" w:themeColor="text1"/>
          <w:sz w:val="16"/>
          <w:szCs w:val="20"/>
          <w:lang w:val="es-ES"/>
        </w:rPr>
        <w:t xml:space="preserve"> y </w:t>
      </w:r>
      <w:hyperlink r:id="rId14" w:history="1">
        <w:r w:rsidRPr="00803184">
          <w:rPr>
            <w:bCs/>
            <w:color w:val="000000" w:themeColor="text1"/>
            <w:sz w:val="16"/>
            <w:szCs w:val="20"/>
            <w:lang w:val="es-ES"/>
          </w:rPr>
          <w:t>www.friedhelm-loh-group.com</w:t>
        </w:r>
      </w:hyperlink>
      <w:r w:rsidRPr="00803184">
        <w:rPr>
          <w:bCs/>
          <w:color w:val="000000" w:themeColor="text1"/>
          <w:sz w:val="16"/>
          <w:szCs w:val="20"/>
          <w:lang w:val="es-ES"/>
        </w:rPr>
        <w:t>.</w:t>
      </w:r>
    </w:p>
    <w:sectPr w:rsidR="00A73C13" w:rsidRPr="00B3413F" w:rsidSect="00F11D1D">
      <w:headerReference w:type="default" r:id="rId15"/>
      <w:footerReference w:type="default" r:id="rId16"/>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6C68C" w14:textId="77777777" w:rsidR="00487960" w:rsidRDefault="00487960" w:rsidP="00C437B6">
      <w:r>
        <w:separator/>
      </w:r>
    </w:p>
  </w:endnote>
  <w:endnote w:type="continuationSeparator" w:id="0">
    <w:p w14:paraId="009CF12E" w14:textId="77777777" w:rsidR="00487960" w:rsidRDefault="00487960" w:rsidP="00C437B6">
      <w:r>
        <w:continuationSeparator/>
      </w:r>
    </w:p>
  </w:endnote>
  <w:endnote w:type="continuationNotice" w:id="1">
    <w:p w14:paraId="02EB287A" w14:textId="77777777" w:rsidR="00487960" w:rsidRDefault="004879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6C5208F2" w:rsidR="00202595" w:rsidRDefault="00B53034">
    <w:pPr>
      <w:pStyle w:val="Piedepgina"/>
    </w:pPr>
    <w:r w:rsidRPr="006270D1">
      <w:rPr>
        <w:noProof/>
      </w:rPr>
      <w:drawing>
        <wp:anchor distT="0" distB="0" distL="0" distR="0" simplePos="0" relativeHeight="251658240" behindDoc="0" locked="0" layoutInCell="1" allowOverlap="0" wp14:anchorId="370ED1DB" wp14:editId="5CD92332">
          <wp:simplePos x="0" y="0"/>
          <wp:positionH relativeFrom="margin">
            <wp:posOffset>-967740</wp:posOffset>
          </wp:positionH>
          <wp:positionV relativeFrom="topMargin">
            <wp:posOffset>9783584</wp:posOffset>
          </wp:positionV>
          <wp:extent cx="7773670" cy="182880"/>
          <wp:effectExtent l="0" t="0" r="0" b="0"/>
          <wp:wrapThrough wrapText="bothSides">
            <wp:wrapPolygon edited="0">
              <wp:start x="0" y="0"/>
              <wp:lineTo x="0" y="19500"/>
              <wp:lineTo x="21561" y="19500"/>
              <wp:lineTo x="21561"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3670" cy="182880"/>
                  </a:xfrm>
                  <a:prstGeom prst="rect">
                    <a:avLst/>
                  </a:prstGeom>
                </pic:spPr>
              </pic:pic>
            </a:graphicData>
          </a:graphic>
          <wp14:sizeRelV relativeFrom="margin">
            <wp14:pctHeight>0</wp14:pctHeight>
          </wp14:sizeRelV>
        </wp:anchor>
      </w:drawing>
    </w:r>
    <w:r>
      <w:rPr>
        <w:noProof/>
        <w:szCs w:val="20"/>
      </w:rPr>
      <w:drawing>
        <wp:anchor distT="0" distB="0" distL="114300" distR="114300" simplePos="0" relativeHeight="251658241" behindDoc="1" locked="0" layoutInCell="1" allowOverlap="1" wp14:anchorId="6347FF42" wp14:editId="222E1FC1">
          <wp:simplePos x="0" y="0"/>
          <wp:positionH relativeFrom="page">
            <wp:posOffset>866140</wp:posOffset>
          </wp:positionH>
          <wp:positionV relativeFrom="page">
            <wp:posOffset>10275431</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FC395" w14:textId="77777777" w:rsidR="00487960" w:rsidRDefault="00487960" w:rsidP="00C437B6">
      <w:r>
        <w:separator/>
      </w:r>
    </w:p>
  </w:footnote>
  <w:footnote w:type="continuationSeparator" w:id="0">
    <w:p w14:paraId="3D6E90E0" w14:textId="77777777" w:rsidR="00487960" w:rsidRDefault="00487960" w:rsidP="00C437B6">
      <w:r>
        <w:continuationSeparator/>
      </w:r>
    </w:p>
  </w:footnote>
  <w:footnote w:type="continuationNotice" w:id="1">
    <w:p w14:paraId="2801E08A" w14:textId="77777777" w:rsidR="00487960" w:rsidRDefault="004879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F750" w14:textId="390B0C68" w:rsidR="008D3298" w:rsidRDefault="008D3298" w:rsidP="008D3298">
    <w:pPr>
      <w:kinsoku w:val="0"/>
      <w:overflowPunct w:val="0"/>
      <w:spacing w:line="14" w:lineRule="auto"/>
      <w:rPr>
        <w:rFonts w:ascii="Times New Roman" w:hAnsi="Times New Roman" w:cs="Times New Roman"/>
        <w:sz w:val="20"/>
        <w:szCs w:val="20"/>
      </w:rPr>
    </w:pPr>
  </w:p>
  <w:p w14:paraId="7241843F" w14:textId="419DB737" w:rsidR="0098163A" w:rsidRDefault="0098163A" w:rsidP="0098163A">
    <w:pPr>
      <w:kinsoku w:val="0"/>
      <w:overflowPunct w:val="0"/>
      <w:spacing w:line="14" w:lineRule="auto"/>
      <w:rPr>
        <w:rFonts w:ascii="Times New Roman" w:hAnsi="Times New Roman" w:cs="Times New Roman"/>
        <w:sz w:val="20"/>
        <w:szCs w:val="20"/>
      </w:rPr>
    </w:pPr>
    <w:r>
      <w:rPr>
        <w:rFonts w:ascii="Times New Roman" w:hAnsi="Times New Roman"/>
        <w:noProof/>
        <w:sz w:val="20"/>
        <w:szCs w:val="20"/>
      </w:rPr>
      <w:drawing>
        <wp:anchor distT="0" distB="0" distL="114300" distR="114300" simplePos="0" relativeHeight="251658242" behindDoc="1" locked="0" layoutInCell="1" allowOverlap="1" wp14:anchorId="28348A5C" wp14:editId="5BA46550">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descr="Una imagen que contiene fuente, gráficos, captura de pantalla, texto.&#10;&#10;El contenido generado por IA puede ser ine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descr="Ein Bild, das Schrift, Grafiken, Screenshot, Text enthält.&#10;&#10;KI-generierte Inhalte können fehlerhaft sein."/>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Pr>
        <w:rFonts w:ascii="Times New Roman" w:hAnsi="Times New Roman"/>
        <w:noProof/>
        <w:sz w:val="16"/>
        <w:szCs w:val="16"/>
      </w:rPr>
      <mc:AlternateContent>
        <mc:Choice Requires="wps">
          <w:drawing>
            <wp:anchor distT="0" distB="0" distL="114300" distR="114300" simplePos="0" relativeHeight="251658243" behindDoc="1" locked="0" layoutInCell="0" allowOverlap="1" wp14:anchorId="341666B1" wp14:editId="5A6E6A3F">
              <wp:simplePos x="0" y="0"/>
              <wp:positionH relativeFrom="page">
                <wp:posOffset>864235</wp:posOffset>
              </wp:positionH>
              <wp:positionV relativeFrom="page">
                <wp:posOffset>449580</wp:posOffset>
              </wp:positionV>
              <wp:extent cx="1485900" cy="351790"/>
              <wp:effectExtent l="0" t="1905" r="2540" b="0"/>
              <wp:wrapNone/>
              <wp:docPr id="20422418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31451D" w14:textId="77777777" w:rsidR="0098163A" w:rsidRPr="00E46942" w:rsidRDefault="0098163A" w:rsidP="0098163A">
                          <w:pPr>
                            <w:kinsoku w:val="0"/>
                            <w:overflowPunct w:val="0"/>
                            <w:spacing w:before="5"/>
                            <w:ind w:left="23"/>
                            <w:rPr>
                              <w:color w:val="231F20"/>
                              <w:spacing w:val="10"/>
                              <w:sz w:val="46"/>
                              <w:szCs w:val="46"/>
                            </w:rPr>
                          </w:pPr>
                          <w:r>
                            <w:rPr>
                              <w:color w:val="231F20"/>
                              <w:sz w:val="46"/>
                              <w:szCs w:val="46"/>
                            </w:rPr>
                            <w:t>PRENSA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341666B1">
              <v:stroke joinstyle="miter"/>
              <v:path gradientshapeok="t" o:connecttype="rect"/>
            </v:shapetype>
            <v:shape id="Text Box 1" style="position:absolute;margin-left:68.05pt;margin-top:35.4pt;width:117pt;height:27.7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v:textbox inset="0,0,0,0">
                <w:txbxContent>
                  <w:p w:rsidRPr="00E46942" w:rsidR="0098163A" w:rsidP="0098163A" w:rsidRDefault="0098163A" w14:paraId="4D31451D" w14:textId="77777777">
                    <w:pPr>
                      <w:kinsoku w:val="0"/>
                      <w:overflowPunct w:val="0"/>
                      <w:spacing w:before="5"/>
                      <w:ind w:left="23"/>
                      <w:rPr>
                        <w:color w:val="231F20"/>
                        <w:spacing w:val="10"/>
                        <w:sz w:val="46"/>
                        <w:szCs w:val="46"/>
                      </w:rPr>
                    </w:pPr>
                    <w:r>
                      <w:rPr>
                        <w:color w:val="231F20"/>
                        <w:sz w:val="46"/>
                        <w:szCs w:val="46"/>
                        <w:lang w:val="Spanish"/>
                      </w:rPr>
                      <w:t>PRENSA</w:t>
                    </w:r>
                  </w:p>
                </w:txbxContent>
              </v:textbox>
              <w10:wrap anchorx="page" anchory="page"/>
            </v:shape>
          </w:pict>
        </mc:Fallback>
      </mc:AlternateContent>
    </w:r>
  </w:p>
  <w:p w14:paraId="0DEAFF3A" w14:textId="5A8A9E0F" w:rsidR="00202595" w:rsidRDefault="00293D30">
    <w:pPr>
      <w:kinsoku w:val="0"/>
      <w:overflowPunct w:val="0"/>
      <w:spacing w:line="14" w:lineRule="auto"/>
      <w:rPr>
        <w:rFonts w:ascii="Times New Roman" w:hAnsi="Times New Roman" w:cs="Times New Roman"/>
        <w:sz w:val="20"/>
        <w:szCs w:val="20"/>
      </w:rPr>
    </w:pPr>
    <w:r>
      <w:rPr>
        <w:rFonts w:ascii="Times New Roman" w:hAnsi="Times New Roman"/>
        <w:noProof/>
        <w:sz w:val="24"/>
        <w:szCs w:val="24"/>
      </w:rPr>
      <mc:AlternateContent>
        <mc:Choice Requires="wps">
          <w:drawing>
            <wp:anchor distT="0" distB="0" distL="114300" distR="114300" simplePos="0" relativeHeight="251658244" behindDoc="0" locked="0" layoutInCell="1" allowOverlap="1" wp14:anchorId="567B5235" wp14:editId="1E1B8B62">
              <wp:simplePos x="0" y="0"/>
              <wp:positionH relativeFrom="margin">
                <wp:align>left</wp:align>
              </wp:positionH>
              <wp:positionV relativeFrom="paragraph">
                <wp:posOffset>373380</wp:posOffset>
              </wp:positionV>
              <wp:extent cx="3903980" cy="419100"/>
              <wp:effectExtent l="0" t="0" r="20320" b="19050"/>
              <wp:wrapNone/>
              <wp:docPr id="433846476" name="Textfeld 4"/>
              <wp:cNvGraphicFramePr/>
              <a:graphic xmlns:a="http://schemas.openxmlformats.org/drawingml/2006/main">
                <a:graphicData uri="http://schemas.microsoft.com/office/word/2010/wordprocessingShape">
                  <wps:wsp>
                    <wps:cNvSpPr txBox="1"/>
                    <wps:spPr>
                      <a:xfrm>
                        <a:off x="0" y="0"/>
                        <a:ext cx="3903980" cy="419100"/>
                      </a:xfrm>
                      <a:prstGeom prst="rect">
                        <a:avLst/>
                      </a:prstGeom>
                      <a:solidFill>
                        <a:sysClr val="window" lastClr="FFFFFF"/>
                      </a:solidFill>
                      <a:ln w="6350">
                        <a:solidFill>
                          <a:prstClr val="black"/>
                        </a:solidFill>
                      </a:ln>
                    </wps:spPr>
                    <wps:txbx>
                      <w:txbxContent>
                        <w:p w14:paraId="4A7A98DE" w14:textId="77777777" w:rsidR="00885F4F" w:rsidRPr="008F5C9A" w:rsidRDefault="00885F4F" w:rsidP="00885F4F">
                          <w:pPr>
                            <w:rPr>
                              <w:lang w:val="es-ES"/>
                            </w:rPr>
                          </w:pPr>
                          <w:r w:rsidRPr="00803184">
                            <w:rPr>
                              <w:lang w:val="es-ES"/>
                            </w:rPr>
                            <w:t>Rittal y Eplan con EcoG en "The Smarter E Europe"</w:t>
                          </w:r>
                        </w:p>
                        <w:p w14:paraId="17DD6C35" w14:textId="545A212A" w:rsidR="0098163A" w:rsidRPr="008F5C9A" w:rsidRDefault="00885F4F" w:rsidP="0098163A">
                          <w:pPr>
                            <w:rPr>
                              <w:lang w:val="es-ES"/>
                            </w:rPr>
                          </w:pPr>
                          <w:r w:rsidRPr="00885F4F">
                            <w:t xml:space="preserve">23–25 de </w:t>
                          </w:r>
                          <w:proofErr w:type="spellStart"/>
                          <w:r w:rsidRPr="00885F4F">
                            <w:t>junio</w:t>
                          </w:r>
                          <w:proofErr w:type="spellEnd"/>
                          <w:r w:rsidRPr="00885F4F">
                            <w:t xml:space="preserve"> de 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67B5235" id="_x0000_t202" coordsize="21600,21600" o:spt="202" path="m,l,21600r21600,l21600,xe">
              <v:stroke joinstyle="miter"/>
              <v:path gradientshapeok="t" o:connecttype="rect"/>
            </v:shapetype>
            <v:shape id="Textfeld 4" o:spid="_x0000_s1027" type="#_x0000_t202" style="position:absolute;margin-left:0;margin-top:29.4pt;width:307.4pt;height:33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" fillcolor="window" strokeweight=".5pt">
              <v:textbox>
                <w:txbxContent>
                  <w:p w14:paraId="4A7A98DE" w14:textId="77777777" w:rsidR="00885F4F" w:rsidRPr="008F5C9A" w:rsidRDefault="00885F4F" w:rsidP="00885F4F">
                    <w:pPr>
                      <w:rPr>
                        <w:lang w:val="es-ES"/>
                      </w:rPr>
                    </w:pPr>
                    <w:r w:rsidRPr="00803184">
                      <w:rPr>
                        <w:lang w:val="es-ES"/>
                      </w:rPr>
                      <w:t>Rittal y Eplan con EcoG en "The Smarter E Europe"</w:t>
                    </w:r>
                  </w:p>
                  <w:p w14:paraId="17DD6C35" w14:textId="545A212A" w:rsidR="0098163A" w:rsidRPr="008F5C9A" w:rsidRDefault="00885F4F" w:rsidP="0098163A">
                    <w:pPr>
                      <w:rPr>
                        <w:lang w:val="es-ES"/>
                      </w:rPr>
                    </w:pPr>
                    <w:r w:rsidRPr="00885F4F">
                      <w:t xml:space="preserve">23–25 de </w:t>
                    </w:r>
                    <w:proofErr w:type="spellStart"/>
                    <w:r w:rsidRPr="00885F4F">
                      <w:t>junio</w:t>
                    </w:r>
                    <w:proofErr w:type="spellEnd"/>
                    <w:r w:rsidRPr="00885F4F">
                      <w:t xml:space="preserve"> de 2026</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53731DD9"/>
    <w:multiLevelType w:val="hybridMultilevel"/>
    <w:tmpl w:val="EBD84394"/>
    <w:lvl w:ilvl="0" w:tplc="37040D26">
      <w:numFmt w:val="bullet"/>
      <w:lvlText w:val="-"/>
      <w:lvlJc w:val="left"/>
      <w:pPr>
        <w:ind w:left="720" w:hanging="360"/>
      </w:pPr>
      <w:rPr>
        <w:rFonts w:ascii="Arial" w:eastAsiaTheme="min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8450491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4685"/>
    <w:rsid w:val="00035B06"/>
    <w:rsid w:val="00037FD6"/>
    <w:rsid w:val="00047B15"/>
    <w:rsid w:val="00052DD2"/>
    <w:rsid w:val="00080930"/>
    <w:rsid w:val="000902CE"/>
    <w:rsid w:val="000A3216"/>
    <w:rsid w:val="000B51C0"/>
    <w:rsid w:val="000E7A2C"/>
    <w:rsid w:val="00106308"/>
    <w:rsid w:val="0011059C"/>
    <w:rsid w:val="0011102D"/>
    <w:rsid w:val="00114302"/>
    <w:rsid w:val="001457E3"/>
    <w:rsid w:val="00145F70"/>
    <w:rsid w:val="001519D2"/>
    <w:rsid w:val="001656A8"/>
    <w:rsid w:val="001926CE"/>
    <w:rsid w:val="001B189F"/>
    <w:rsid w:val="001B7268"/>
    <w:rsid w:val="001C1EDF"/>
    <w:rsid w:val="001D555B"/>
    <w:rsid w:val="001D6722"/>
    <w:rsid w:val="001E046B"/>
    <w:rsid w:val="001E78D8"/>
    <w:rsid w:val="001F2589"/>
    <w:rsid w:val="002016FD"/>
    <w:rsid w:val="00202595"/>
    <w:rsid w:val="0023718F"/>
    <w:rsid w:val="002441BD"/>
    <w:rsid w:val="00250111"/>
    <w:rsid w:val="002546AE"/>
    <w:rsid w:val="00274BBB"/>
    <w:rsid w:val="00293D30"/>
    <w:rsid w:val="002A662A"/>
    <w:rsid w:val="002C00E6"/>
    <w:rsid w:val="002C6615"/>
    <w:rsid w:val="002D2830"/>
    <w:rsid w:val="002E1F7F"/>
    <w:rsid w:val="00303A6F"/>
    <w:rsid w:val="0030636B"/>
    <w:rsid w:val="003071C7"/>
    <w:rsid w:val="00313216"/>
    <w:rsid w:val="0031514E"/>
    <w:rsid w:val="0033402A"/>
    <w:rsid w:val="00367B14"/>
    <w:rsid w:val="00397212"/>
    <w:rsid w:val="00397E80"/>
    <w:rsid w:val="003A7EAF"/>
    <w:rsid w:val="003B12EF"/>
    <w:rsid w:val="003B413C"/>
    <w:rsid w:val="003C464D"/>
    <w:rsid w:val="00400BBE"/>
    <w:rsid w:val="00413F64"/>
    <w:rsid w:val="00424077"/>
    <w:rsid w:val="0042557E"/>
    <w:rsid w:val="004305EE"/>
    <w:rsid w:val="00445DA2"/>
    <w:rsid w:val="00454607"/>
    <w:rsid w:val="00454741"/>
    <w:rsid w:val="00455B4F"/>
    <w:rsid w:val="00456F1A"/>
    <w:rsid w:val="004643E3"/>
    <w:rsid w:val="004839D0"/>
    <w:rsid w:val="004845A9"/>
    <w:rsid w:val="004860F9"/>
    <w:rsid w:val="00486A98"/>
    <w:rsid w:val="00487960"/>
    <w:rsid w:val="004959D6"/>
    <w:rsid w:val="004D56BD"/>
    <w:rsid w:val="004F0683"/>
    <w:rsid w:val="004F229F"/>
    <w:rsid w:val="00512F78"/>
    <w:rsid w:val="00513BB5"/>
    <w:rsid w:val="00517BF5"/>
    <w:rsid w:val="00542350"/>
    <w:rsid w:val="005467FA"/>
    <w:rsid w:val="0055018D"/>
    <w:rsid w:val="00556081"/>
    <w:rsid w:val="0057573C"/>
    <w:rsid w:val="00584C14"/>
    <w:rsid w:val="005A134E"/>
    <w:rsid w:val="005D2828"/>
    <w:rsid w:val="005D33D3"/>
    <w:rsid w:val="005D7486"/>
    <w:rsid w:val="005E31B2"/>
    <w:rsid w:val="005E37B5"/>
    <w:rsid w:val="005F47D3"/>
    <w:rsid w:val="00613397"/>
    <w:rsid w:val="006270D1"/>
    <w:rsid w:val="00640675"/>
    <w:rsid w:val="006467B0"/>
    <w:rsid w:val="00650E38"/>
    <w:rsid w:val="00654F16"/>
    <w:rsid w:val="00655540"/>
    <w:rsid w:val="0067568A"/>
    <w:rsid w:val="00681C6A"/>
    <w:rsid w:val="00684EAC"/>
    <w:rsid w:val="006A2213"/>
    <w:rsid w:val="006C0224"/>
    <w:rsid w:val="006C1421"/>
    <w:rsid w:val="006C2B8D"/>
    <w:rsid w:val="006C6990"/>
    <w:rsid w:val="006C7EF7"/>
    <w:rsid w:val="006D4E9A"/>
    <w:rsid w:val="006D5EAA"/>
    <w:rsid w:val="006E0CF8"/>
    <w:rsid w:val="006E6B91"/>
    <w:rsid w:val="00701182"/>
    <w:rsid w:val="0072518D"/>
    <w:rsid w:val="007315EA"/>
    <w:rsid w:val="007379AB"/>
    <w:rsid w:val="00744D53"/>
    <w:rsid w:val="00751438"/>
    <w:rsid w:val="007568B6"/>
    <w:rsid w:val="00760BC1"/>
    <w:rsid w:val="007656D2"/>
    <w:rsid w:val="00770261"/>
    <w:rsid w:val="00790988"/>
    <w:rsid w:val="007A772A"/>
    <w:rsid w:val="007B0D89"/>
    <w:rsid w:val="007C2C27"/>
    <w:rsid w:val="007D60A7"/>
    <w:rsid w:val="007D7AE2"/>
    <w:rsid w:val="00801528"/>
    <w:rsid w:val="00803184"/>
    <w:rsid w:val="00805E8F"/>
    <w:rsid w:val="0082773C"/>
    <w:rsid w:val="008818CB"/>
    <w:rsid w:val="008852A4"/>
    <w:rsid w:val="00885F4F"/>
    <w:rsid w:val="00886E96"/>
    <w:rsid w:val="008942D2"/>
    <w:rsid w:val="00895E52"/>
    <w:rsid w:val="008D3298"/>
    <w:rsid w:val="008E5626"/>
    <w:rsid w:val="008F0720"/>
    <w:rsid w:val="008F5C9A"/>
    <w:rsid w:val="009058E3"/>
    <w:rsid w:val="009147DE"/>
    <w:rsid w:val="009223A3"/>
    <w:rsid w:val="00932EA0"/>
    <w:rsid w:val="00947C4F"/>
    <w:rsid w:val="009536AF"/>
    <w:rsid w:val="00962C7F"/>
    <w:rsid w:val="00976174"/>
    <w:rsid w:val="0098163A"/>
    <w:rsid w:val="00996B25"/>
    <w:rsid w:val="009A0F9D"/>
    <w:rsid w:val="009D2ADE"/>
    <w:rsid w:val="009D411D"/>
    <w:rsid w:val="009D709C"/>
    <w:rsid w:val="009E0DC3"/>
    <w:rsid w:val="009E34BF"/>
    <w:rsid w:val="009E3CD4"/>
    <w:rsid w:val="009E4D10"/>
    <w:rsid w:val="009F04D4"/>
    <w:rsid w:val="009F3123"/>
    <w:rsid w:val="00A0460C"/>
    <w:rsid w:val="00A0608C"/>
    <w:rsid w:val="00A073EB"/>
    <w:rsid w:val="00A07ACF"/>
    <w:rsid w:val="00A23870"/>
    <w:rsid w:val="00A31DE7"/>
    <w:rsid w:val="00A37B28"/>
    <w:rsid w:val="00A51035"/>
    <w:rsid w:val="00A51E5F"/>
    <w:rsid w:val="00A66242"/>
    <w:rsid w:val="00A71BED"/>
    <w:rsid w:val="00A73C13"/>
    <w:rsid w:val="00A757AC"/>
    <w:rsid w:val="00A85AA0"/>
    <w:rsid w:val="00A90FC3"/>
    <w:rsid w:val="00AA6300"/>
    <w:rsid w:val="00AA6A2B"/>
    <w:rsid w:val="00AC391D"/>
    <w:rsid w:val="00AD5C77"/>
    <w:rsid w:val="00AE7B56"/>
    <w:rsid w:val="00B0012D"/>
    <w:rsid w:val="00B317B0"/>
    <w:rsid w:val="00B3413F"/>
    <w:rsid w:val="00B42CC3"/>
    <w:rsid w:val="00B5087C"/>
    <w:rsid w:val="00B53034"/>
    <w:rsid w:val="00B57AB6"/>
    <w:rsid w:val="00B70890"/>
    <w:rsid w:val="00B71647"/>
    <w:rsid w:val="00B75E7A"/>
    <w:rsid w:val="00B8089B"/>
    <w:rsid w:val="00B81229"/>
    <w:rsid w:val="00B921A4"/>
    <w:rsid w:val="00B92417"/>
    <w:rsid w:val="00B9325B"/>
    <w:rsid w:val="00B9514B"/>
    <w:rsid w:val="00BD1E6B"/>
    <w:rsid w:val="00C0410E"/>
    <w:rsid w:val="00C11815"/>
    <w:rsid w:val="00C21869"/>
    <w:rsid w:val="00C2799C"/>
    <w:rsid w:val="00C40907"/>
    <w:rsid w:val="00C437B6"/>
    <w:rsid w:val="00C63973"/>
    <w:rsid w:val="00C66DFF"/>
    <w:rsid w:val="00C707D4"/>
    <w:rsid w:val="00C7714F"/>
    <w:rsid w:val="00C85246"/>
    <w:rsid w:val="00C933FC"/>
    <w:rsid w:val="00C955FC"/>
    <w:rsid w:val="00C9738B"/>
    <w:rsid w:val="00CA28D3"/>
    <w:rsid w:val="00CB1B61"/>
    <w:rsid w:val="00CC229D"/>
    <w:rsid w:val="00CC3274"/>
    <w:rsid w:val="00CC57AA"/>
    <w:rsid w:val="00CD7C6C"/>
    <w:rsid w:val="00CE7167"/>
    <w:rsid w:val="00CF7702"/>
    <w:rsid w:val="00D017D7"/>
    <w:rsid w:val="00D02577"/>
    <w:rsid w:val="00D02D5B"/>
    <w:rsid w:val="00D0666B"/>
    <w:rsid w:val="00D109A1"/>
    <w:rsid w:val="00D205F9"/>
    <w:rsid w:val="00D2409E"/>
    <w:rsid w:val="00D35D5A"/>
    <w:rsid w:val="00D40B6B"/>
    <w:rsid w:val="00D43DBB"/>
    <w:rsid w:val="00D60FA7"/>
    <w:rsid w:val="00D704AD"/>
    <w:rsid w:val="00D80B69"/>
    <w:rsid w:val="00D92D66"/>
    <w:rsid w:val="00D92FEF"/>
    <w:rsid w:val="00DA097A"/>
    <w:rsid w:val="00DA0AC1"/>
    <w:rsid w:val="00DA78A6"/>
    <w:rsid w:val="00DB2F91"/>
    <w:rsid w:val="00DB6209"/>
    <w:rsid w:val="00DC7953"/>
    <w:rsid w:val="00DC7BEC"/>
    <w:rsid w:val="00DD48DF"/>
    <w:rsid w:val="00DF3CF6"/>
    <w:rsid w:val="00E02D8D"/>
    <w:rsid w:val="00E4364C"/>
    <w:rsid w:val="00E43B92"/>
    <w:rsid w:val="00E46942"/>
    <w:rsid w:val="00E52EA9"/>
    <w:rsid w:val="00E65FC3"/>
    <w:rsid w:val="00E973CC"/>
    <w:rsid w:val="00E97650"/>
    <w:rsid w:val="00EB1ED8"/>
    <w:rsid w:val="00EB26FC"/>
    <w:rsid w:val="00ED3D20"/>
    <w:rsid w:val="00ED57C7"/>
    <w:rsid w:val="00EE2E8D"/>
    <w:rsid w:val="00EE437A"/>
    <w:rsid w:val="00F0087D"/>
    <w:rsid w:val="00F11D1D"/>
    <w:rsid w:val="00F34793"/>
    <w:rsid w:val="00F46C85"/>
    <w:rsid w:val="00F53B77"/>
    <w:rsid w:val="00F56180"/>
    <w:rsid w:val="00F61379"/>
    <w:rsid w:val="00F90C76"/>
    <w:rsid w:val="00F90E37"/>
    <w:rsid w:val="00F94098"/>
    <w:rsid w:val="00FB1403"/>
    <w:rsid w:val="00FB548B"/>
    <w:rsid w:val="00FB59B5"/>
    <w:rsid w:val="00FC3A8C"/>
    <w:rsid w:val="00FD4CFC"/>
    <w:rsid w:val="00FE5478"/>
    <w:rsid w:val="00FF5C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Prrafodelista">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650E38"/>
    <w:rPr>
      <w:rFonts w:ascii="Tahoma" w:hAnsi="Tahoma" w:cs="Tahoma"/>
      <w:sz w:val="16"/>
      <w:szCs w:val="16"/>
    </w:rPr>
  </w:style>
  <w:style w:type="character" w:customStyle="1" w:styleId="TextodegloboCar">
    <w:name w:val="Texto de globo Car"/>
    <w:basedOn w:val="Fuentedeprrafopredeter"/>
    <w:link w:val="Textodeglobo"/>
    <w:uiPriority w:val="99"/>
    <w:semiHidden/>
    <w:rsid w:val="00650E38"/>
    <w:rPr>
      <w:rFonts w:ascii="Tahoma" w:hAnsi="Tahoma" w:cs="Tahoma"/>
      <w:sz w:val="16"/>
      <w:szCs w:val="16"/>
    </w:rPr>
  </w:style>
  <w:style w:type="paragraph" w:styleId="Encabezado">
    <w:name w:val="header"/>
    <w:basedOn w:val="Normal"/>
    <w:link w:val="EncabezadoCar"/>
    <w:uiPriority w:val="99"/>
    <w:unhideWhenUsed/>
    <w:rsid w:val="00650E38"/>
    <w:pPr>
      <w:tabs>
        <w:tab w:val="center" w:pos="4536"/>
        <w:tab w:val="right" w:pos="9072"/>
      </w:tabs>
    </w:pPr>
  </w:style>
  <w:style w:type="character" w:customStyle="1" w:styleId="EncabezadoCar">
    <w:name w:val="Encabezado Car"/>
    <w:basedOn w:val="Fuentedeprrafopredeter"/>
    <w:link w:val="Encabezado"/>
    <w:uiPriority w:val="99"/>
    <w:rsid w:val="00650E38"/>
    <w:rPr>
      <w:rFonts w:ascii="Arial" w:hAnsi="Arial" w:cs="Arial"/>
    </w:rPr>
  </w:style>
  <w:style w:type="paragraph" w:styleId="Piedepgina">
    <w:name w:val="footer"/>
    <w:basedOn w:val="Normal"/>
    <w:link w:val="PiedepginaCar"/>
    <w:uiPriority w:val="99"/>
    <w:unhideWhenUsed/>
    <w:rsid w:val="00650E38"/>
    <w:pPr>
      <w:tabs>
        <w:tab w:val="center" w:pos="4536"/>
        <w:tab w:val="right" w:pos="9072"/>
      </w:tabs>
    </w:pPr>
  </w:style>
  <w:style w:type="character" w:customStyle="1" w:styleId="PiedepginaCar">
    <w:name w:val="Pie de página Car"/>
    <w:basedOn w:val="Fuentedeprrafopredeter"/>
    <w:link w:val="Piedepgina"/>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aconcuadrcula">
    <w:name w:val="Table Grid"/>
    <w:basedOn w:val="Tabla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Fuentedeprrafopredeter"/>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ipervnculo">
    <w:name w:val="Hyperlink"/>
    <w:basedOn w:val="Fuentedeprrafopredeter"/>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Default">
    <w:name w:val="Default"/>
    <w:rsid w:val="00542350"/>
    <w:pPr>
      <w:autoSpaceDE w:val="0"/>
      <w:autoSpaceDN w:val="0"/>
      <w:adjustRightInd w:val="0"/>
      <w:spacing w:after="0" w:line="240" w:lineRule="auto"/>
    </w:pPr>
    <w:rPr>
      <w:rFonts w:ascii="Arial" w:hAnsi="Arial" w:cs="Arial"/>
      <w:color w:val="000000"/>
      <w:sz w:val="24"/>
      <w:szCs w:val="24"/>
    </w:rPr>
  </w:style>
  <w:style w:type="character" w:styleId="Mencinsinresolver">
    <w:name w:val="Unresolved Mention"/>
    <w:basedOn w:val="Fuentedeprrafopredeter"/>
    <w:uiPriority w:val="99"/>
    <w:semiHidden/>
    <w:unhideWhenUsed/>
    <w:rsid w:val="00542350"/>
    <w:rPr>
      <w:color w:val="605E5C"/>
      <w:shd w:val="clear" w:color="auto" w:fill="E1DFDD"/>
    </w:rPr>
  </w:style>
  <w:style w:type="character" w:styleId="Hipervnculovisitado">
    <w:name w:val="FollowedHyperlink"/>
    <w:basedOn w:val="Fuentedeprrafopredeter"/>
    <w:uiPriority w:val="99"/>
    <w:semiHidden/>
    <w:unhideWhenUsed/>
    <w:rsid w:val="00A37B28"/>
    <w:rPr>
      <w:color w:val="800080" w:themeColor="followedHyperlink"/>
      <w:u w:val="single"/>
    </w:rPr>
  </w:style>
  <w:style w:type="character" w:styleId="Textodelmarcadordeposicin">
    <w:name w:val="Placeholder Text"/>
    <w:basedOn w:val="Fuentedeprrafopredeter"/>
    <w:uiPriority w:val="99"/>
    <w:semiHidden/>
    <w:rsid w:val="008F5C9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ittal.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riedhelm-loh-group.co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60DD61-C6F2-49FD-A841-2DC2EE32A232}">
  <ds:schemaRefs>
    <ds:schemaRef ds:uri="http://schemas.microsoft.com/sharepoint/v3/contenttype/forms"/>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7C1BA959-D71A-4761-9BE3-FE2782402DA3}">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350A278E-8846-4141-87C2-812677285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12</TotalTime>
  <Pages>4</Pages>
  <Words>1656</Words>
  <Characters>9114</Characters>
  <Application>Microsoft Office Word</Application>
  <DocSecurity>0</DocSecurity>
  <Lines>75</Lines>
  <Paragraphs>21</Paragraphs>
  <ScaleCrop>false</ScaleCrop>
  <HeadingPairs>
    <vt:vector size="4" baseType="variant">
      <vt:variant>
        <vt:lpstr>Título</vt:lpstr>
      </vt:variant>
      <vt:variant>
        <vt:i4>1</vt:i4>
      </vt:variant>
      <vt:variant>
        <vt:lpstr>Titel</vt:lpstr>
      </vt:variant>
      <vt:variant>
        <vt:i4>1</vt:i4>
      </vt:variant>
    </vt:vector>
  </HeadingPairs>
  <TitlesOfParts>
    <vt:vector size="2" baseType="lpstr">
      <vt:lpstr/>
      <vt:lpstr/>
    </vt:vector>
  </TitlesOfParts>
  <Company>OCM GmbH</Company>
  <LinksUpToDate>false</LinksUpToDate>
  <CharactersWithSpaces>10749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Nuria Poch</cp:lastModifiedBy>
  <cp:revision>4</cp:revision>
  <cp:lastPrinted>2026-05-21T12:17:00Z</cp:lastPrinted>
  <dcterms:created xsi:type="dcterms:W3CDTF">2026-07-03T07:39:00Z</dcterms:created>
  <dcterms:modified xsi:type="dcterms:W3CDTF">2026-07-03T11:13:00Z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2026-03-05T13:44:40Z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c9378411-19c0-4a97-9706-80eb282f17c8</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