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3767E" w14:textId="77777777" w:rsidR="00C542F6" w:rsidRDefault="00C542F6" w:rsidP="00022B2C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48D52BD7" w14:textId="77777777" w:rsidR="00C542F6" w:rsidRDefault="00C542F6" w:rsidP="00022B2C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504DE46C" w14:textId="77777777" w:rsidR="00C542F6" w:rsidRDefault="00C542F6" w:rsidP="00022B2C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2D91108B" w14:textId="7F0E427A" w:rsidR="00C542F6" w:rsidRPr="001A7FAD" w:rsidRDefault="00764534" w:rsidP="00C542F6">
      <w:pPr>
        <w:pStyle w:val="berschrift-H1"/>
        <w:ind w:right="1219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  <w:lang w:val="es-ES"/>
        </w:rPr>
        <w:t>Webinar:</w:t>
      </w:r>
      <w:r w:rsidR="001A7FAD" w:rsidRPr="001A7FAD">
        <w:t xml:space="preserve"> </w:t>
      </w:r>
      <w:r w:rsidR="001A7FAD" w:rsidRPr="001A7FAD">
        <w:rPr>
          <w:b w:val="0"/>
          <w:bCs w:val="0"/>
          <w:sz w:val="20"/>
          <w:szCs w:val="20"/>
          <w:lang w:val="es-ES"/>
        </w:rPr>
        <w:t>IEC 61439-1/2 vs UL 508A: ¿Conoces las principales diferencias para la fabricación de cuadros eléctricos?</w:t>
      </w:r>
    </w:p>
    <w:p w14:paraId="31346F0D" w14:textId="77777777" w:rsidR="00C542F6" w:rsidRPr="009C56D7" w:rsidRDefault="00C542F6" w:rsidP="00C542F6">
      <w:pPr>
        <w:pStyle w:val="berschrift-H1"/>
        <w:ind w:right="1219"/>
        <w:rPr>
          <w:lang w:val="es-ES"/>
        </w:rPr>
      </w:pPr>
    </w:p>
    <w:p w14:paraId="1B67D2F6" w14:textId="77777777" w:rsidR="00A66971" w:rsidRDefault="00A66971" w:rsidP="00A66971">
      <w:pPr>
        <w:pStyle w:val="Ort-Datum"/>
        <w:spacing w:after="0"/>
        <w:ind w:right="282"/>
        <w:rPr>
          <w:b/>
          <w:sz w:val="28"/>
          <w:szCs w:val="28"/>
          <w:lang w:val="es-ES"/>
        </w:rPr>
      </w:pPr>
      <w:r w:rsidRPr="00A66971">
        <w:rPr>
          <w:b/>
          <w:sz w:val="28"/>
          <w:szCs w:val="28"/>
          <w:lang w:val="es-ES"/>
        </w:rPr>
        <w:t>Rittal muestra cómo afrontar proyectos de distribución de energía con mayores garantías de cumplimiento normativo</w:t>
      </w:r>
    </w:p>
    <w:p w14:paraId="495EDAB4" w14:textId="3A8286DD" w:rsidR="00C542F6" w:rsidRPr="00C542F6" w:rsidRDefault="00C542F6" w:rsidP="00C542F6">
      <w:pPr>
        <w:pStyle w:val="Ort-Datum"/>
        <w:spacing w:after="0"/>
        <w:rPr>
          <w:bCs w:val="0"/>
          <w:lang w:val="es-ES"/>
        </w:rPr>
      </w:pPr>
      <w:r w:rsidRPr="00C542F6">
        <w:rPr>
          <w:bCs w:val="0"/>
          <w:lang w:val="es-ES"/>
        </w:rPr>
        <w:t xml:space="preserve">Sabadell, </w:t>
      </w:r>
      <w:r w:rsidR="00A96BB6">
        <w:rPr>
          <w:bCs w:val="0"/>
          <w:lang w:val="es-ES"/>
        </w:rPr>
        <w:t>25</w:t>
      </w:r>
      <w:r w:rsidRPr="00C542F6">
        <w:rPr>
          <w:bCs w:val="0"/>
          <w:lang w:val="es-ES"/>
        </w:rPr>
        <w:t>-0</w:t>
      </w:r>
      <w:r>
        <w:rPr>
          <w:bCs w:val="0"/>
          <w:lang w:val="es-ES"/>
        </w:rPr>
        <w:t>9</w:t>
      </w:r>
      <w:r w:rsidRPr="00C542F6">
        <w:rPr>
          <w:bCs w:val="0"/>
          <w:lang w:val="es-ES"/>
        </w:rPr>
        <w:t>-2026</w:t>
      </w:r>
    </w:p>
    <w:p w14:paraId="791173B6" w14:textId="77777777" w:rsidR="00C542F6" w:rsidRPr="00C542F6" w:rsidRDefault="00C542F6" w:rsidP="00022B2C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3B8411A9" w14:textId="5897EE58" w:rsidR="00A10865" w:rsidRPr="00A10865" w:rsidRDefault="00A10865" w:rsidP="00A10865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El</w:t>
      </w:r>
      <w:r w:rsidRPr="00A10865">
        <w:rPr>
          <w:rFonts w:ascii="Arial" w:hAnsi="Arial" w:cs="Arial"/>
          <w:b/>
          <w:bCs/>
          <w:sz w:val="20"/>
          <w:szCs w:val="20"/>
        </w:rPr>
        <w:t xml:space="preserve"> webinar mostrará las diferencias entre las normativas IEC 61439-1/2 y UL 508A y cómo una plataforma modular estandarizada puede facilitar el diseño, la fabricación y la homologación de cuadros eléctricos.</w:t>
      </w:r>
    </w:p>
    <w:p w14:paraId="0CBA01EE" w14:textId="77777777" w:rsidR="00A66971" w:rsidRPr="00A66971" w:rsidRDefault="00A66971" w:rsidP="00A66971">
      <w:pPr>
        <w:jc w:val="both"/>
        <w:rPr>
          <w:rFonts w:ascii="Arial" w:hAnsi="Arial" w:cs="Arial"/>
          <w:sz w:val="20"/>
          <w:szCs w:val="20"/>
        </w:rPr>
      </w:pPr>
      <w:r w:rsidRPr="00A66971">
        <w:rPr>
          <w:rFonts w:ascii="Arial" w:hAnsi="Arial" w:cs="Arial"/>
          <w:sz w:val="20"/>
          <w:szCs w:val="20"/>
        </w:rPr>
        <w:t xml:space="preserve">El cumplimiento normativo es un aspecto clave en el diseño y fabricación de cuadros eléctricos de baja tensión, especialmente en proyectos destinados a mercados internacionales. Con el objetivo de ayudar a fabricantes, integradores e ingenierías a comprender mejor los requisitos de las normativas más utilizadas en el sector, Rittal organiza el webinar gratuito </w:t>
      </w:r>
      <w:r w:rsidRPr="00A66971">
        <w:rPr>
          <w:rFonts w:ascii="Arial" w:hAnsi="Arial" w:cs="Arial"/>
          <w:i/>
          <w:iCs/>
          <w:sz w:val="20"/>
          <w:szCs w:val="20"/>
        </w:rPr>
        <w:t>"IEC 61439-1/2 vs UL 508A: ¿Conoces las principales diferencias para la fabricación de cuadros eléctricos?"</w:t>
      </w:r>
      <w:r w:rsidRPr="00A66971">
        <w:rPr>
          <w:rFonts w:ascii="Arial" w:hAnsi="Arial" w:cs="Arial"/>
          <w:sz w:val="20"/>
          <w:szCs w:val="20"/>
        </w:rPr>
        <w:t xml:space="preserve">, que tendrá lugar el próximo </w:t>
      </w:r>
      <w:r w:rsidRPr="00A66971">
        <w:rPr>
          <w:rFonts w:ascii="Arial" w:hAnsi="Arial" w:cs="Arial"/>
          <w:b/>
          <w:bCs/>
          <w:sz w:val="20"/>
          <w:szCs w:val="20"/>
        </w:rPr>
        <w:t>6 de octubre a las 10:00 h</w:t>
      </w:r>
      <w:r w:rsidRPr="00A66971">
        <w:rPr>
          <w:rFonts w:ascii="Arial" w:hAnsi="Arial" w:cs="Arial"/>
          <w:sz w:val="20"/>
          <w:szCs w:val="20"/>
        </w:rPr>
        <w:t>.</w:t>
      </w:r>
    </w:p>
    <w:p w14:paraId="6A646C11" w14:textId="77777777" w:rsidR="00A66971" w:rsidRPr="00A66971" w:rsidRDefault="00A66971" w:rsidP="00A66971">
      <w:pPr>
        <w:jc w:val="both"/>
        <w:rPr>
          <w:rFonts w:ascii="Arial" w:hAnsi="Arial" w:cs="Arial"/>
          <w:sz w:val="20"/>
          <w:szCs w:val="20"/>
        </w:rPr>
      </w:pPr>
      <w:r w:rsidRPr="00A66971">
        <w:rPr>
          <w:rFonts w:ascii="Arial" w:hAnsi="Arial" w:cs="Arial"/>
          <w:sz w:val="20"/>
          <w:szCs w:val="20"/>
        </w:rPr>
        <w:t>Durante la sesión, los asistentes descubrirán qué establece la norma IEC 61439-1/2 para el diseño y la fabricación de cuadros de baja tensión, cuáles son sus principales diferencias respecto a UL 508A y cómo estas normativas influyen en el desarrollo de proyectos de distribución de energía.</w:t>
      </w:r>
    </w:p>
    <w:p w14:paraId="09B4E63A" w14:textId="77777777" w:rsidR="00A66971" w:rsidRPr="00A66971" w:rsidRDefault="00A66971" w:rsidP="00A66971">
      <w:pPr>
        <w:jc w:val="both"/>
        <w:rPr>
          <w:rFonts w:ascii="Arial" w:hAnsi="Arial" w:cs="Arial"/>
          <w:sz w:val="20"/>
          <w:szCs w:val="20"/>
        </w:rPr>
      </w:pPr>
      <w:r w:rsidRPr="00A66971">
        <w:rPr>
          <w:rFonts w:ascii="Arial" w:hAnsi="Arial" w:cs="Arial"/>
          <w:sz w:val="20"/>
          <w:szCs w:val="20"/>
        </w:rPr>
        <w:t>La homologación y el cumplimiento de estándares internacionales representan hoy uno de los principales retos para los fabricantes de cuadros eléctricos. En este contexto, disponer de soluciones estandarizadas y verificadas permite reducir complejidades durante las fases de diseño y construcción, al tiempo que aporta una mayor seguridad y confianza en el resultado final.</w:t>
      </w:r>
    </w:p>
    <w:p w14:paraId="0B98633B" w14:textId="4D530151" w:rsidR="00A66971" w:rsidRPr="00A66971" w:rsidRDefault="00A66971" w:rsidP="00A66971">
      <w:pPr>
        <w:jc w:val="both"/>
        <w:rPr>
          <w:rFonts w:ascii="Arial" w:hAnsi="Arial" w:cs="Arial"/>
          <w:sz w:val="20"/>
          <w:szCs w:val="20"/>
        </w:rPr>
      </w:pPr>
      <w:r w:rsidRPr="00A66971">
        <w:rPr>
          <w:rFonts w:ascii="Arial" w:hAnsi="Arial" w:cs="Arial"/>
          <w:sz w:val="20"/>
          <w:szCs w:val="20"/>
        </w:rPr>
        <w:t xml:space="preserve">A lo largo del webinar, </w:t>
      </w:r>
      <w:r>
        <w:rPr>
          <w:rFonts w:ascii="Arial" w:hAnsi="Arial" w:cs="Arial"/>
          <w:sz w:val="20"/>
          <w:szCs w:val="20"/>
        </w:rPr>
        <w:t>se</w:t>
      </w:r>
      <w:r w:rsidRPr="00A66971">
        <w:rPr>
          <w:rFonts w:ascii="Arial" w:hAnsi="Arial" w:cs="Arial"/>
          <w:sz w:val="20"/>
          <w:szCs w:val="20"/>
        </w:rPr>
        <w:t xml:space="preserve"> mostrará cómo </w:t>
      </w:r>
      <w:r w:rsidRPr="00A66971">
        <w:rPr>
          <w:rFonts w:ascii="Arial" w:hAnsi="Arial" w:cs="Arial"/>
          <w:b/>
          <w:bCs/>
          <w:sz w:val="20"/>
          <w:szCs w:val="20"/>
        </w:rPr>
        <w:t>Ri4Power</w:t>
      </w:r>
      <w:r w:rsidRPr="00A66971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un</w:t>
      </w:r>
      <w:r w:rsidRPr="00A66971">
        <w:rPr>
          <w:rFonts w:ascii="Arial" w:hAnsi="Arial" w:cs="Arial"/>
          <w:sz w:val="20"/>
          <w:szCs w:val="20"/>
        </w:rPr>
        <w:t xml:space="preserve"> sistema modular para distribución de energía, contribuye al cumplimiento normativo gracias a sus verificaciones de diseño y a una plataforma estandarizada que aporta mayor flexibilidad, escalabilidad y seguridad en la fabricación de cuadros eléctricos.</w:t>
      </w:r>
    </w:p>
    <w:p w14:paraId="6F07CF1A" w14:textId="77777777" w:rsidR="00A66971" w:rsidRPr="00A66971" w:rsidRDefault="00A66971" w:rsidP="00A66971">
      <w:pPr>
        <w:jc w:val="both"/>
        <w:rPr>
          <w:rFonts w:ascii="Arial" w:hAnsi="Arial" w:cs="Arial"/>
          <w:sz w:val="20"/>
          <w:szCs w:val="20"/>
        </w:rPr>
      </w:pPr>
      <w:r w:rsidRPr="00A66971">
        <w:rPr>
          <w:rFonts w:ascii="Arial" w:hAnsi="Arial" w:cs="Arial"/>
          <w:sz w:val="20"/>
          <w:szCs w:val="20"/>
        </w:rPr>
        <w:t xml:space="preserve">La sesión contará con la participación de </w:t>
      </w:r>
      <w:r w:rsidRPr="00A66971">
        <w:rPr>
          <w:rFonts w:ascii="Arial" w:hAnsi="Arial" w:cs="Arial"/>
          <w:b/>
          <w:bCs/>
          <w:sz w:val="20"/>
          <w:szCs w:val="20"/>
        </w:rPr>
        <w:t>Gerard Casals, Business Unit Manager Energy &amp; Power de Rittal España</w:t>
      </w:r>
      <w:r w:rsidRPr="00A66971">
        <w:rPr>
          <w:rFonts w:ascii="Arial" w:hAnsi="Arial" w:cs="Arial"/>
          <w:sz w:val="20"/>
          <w:szCs w:val="20"/>
        </w:rPr>
        <w:t>, quien analizará los aspectos más relevantes de ambas normativas y mostrará cómo afrontar proyectos de distribución de energía con mayores garantías de cumplimiento y eficiencia.</w:t>
      </w:r>
    </w:p>
    <w:p w14:paraId="192D18A7" w14:textId="77777777" w:rsidR="00A66971" w:rsidRPr="00A66971" w:rsidRDefault="00A66971" w:rsidP="00A66971">
      <w:pPr>
        <w:jc w:val="both"/>
        <w:rPr>
          <w:rFonts w:ascii="Arial" w:hAnsi="Arial" w:cs="Arial"/>
          <w:sz w:val="20"/>
          <w:szCs w:val="20"/>
        </w:rPr>
      </w:pPr>
      <w:r w:rsidRPr="00A66971">
        <w:rPr>
          <w:rFonts w:ascii="Arial" w:hAnsi="Arial" w:cs="Arial"/>
          <w:sz w:val="20"/>
          <w:szCs w:val="20"/>
        </w:rPr>
        <w:t>Entre los temas que se abordarán destacan:</w:t>
      </w:r>
    </w:p>
    <w:p w14:paraId="72176C99" w14:textId="77777777" w:rsidR="00A66971" w:rsidRPr="00A66971" w:rsidRDefault="00A66971" w:rsidP="00A66971">
      <w:pPr>
        <w:numPr>
          <w:ilvl w:val="0"/>
          <w:numId w:val="4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A66971">
        <w:rPr>
          <w:rFonts w:ascii="Arial" w:hAnsi="Arial" w:cs="Arial"/>
          <w:sz w:val="20"/>
          <w:szCs w:val="20"/>
        </w:rPr>
        <w:t>Qué establece la norma IEC 61439-1/2 para cuadros de baja tensión.</w:t>
      </w:r>
    </w:p>
    <w:p w14:paraId="07AE10B0" w14:textId="77777777" w:rsidR="00A66971" w:rsidRPr="00A66971" w:rsidRDefault="00A66971" w:rsidP="00A66971">
      <w:pPr>
        <w:numPr>
          <w:ilvl w:val="0"/>
          <w:numId w:val="4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A66971">
        <w:rPr>
          <w:rFonts w:ascii="Arial" w:hAnsi="Arial" w:cs="Arial"/>
          <w:sz w:val="20"/>
          <w:szCs w:val="20"/>
        </w:rPr>
        <w:t>Comparativa entre las normativas IEC 61439-1/2 y UL 508A.</w:t>
      </w:r>
    </w:p>
    <w:p w14:paraId="3BC2E104" w14:textId="77777777" w:rsidR="00A66971" w:rsidRPr="00A66971" w:rsidRDefault="00A66971" w:rsidP="00A66971">
      <w:pPr>
        <w:numPr>
          <w:ilvl w:val="0"/>
          <w:numId w:val="4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A66971">
        <w:rPr>
          <w:rFonts w:ascii="Arial" w:hAnsi="Arial" w:cs="Arial"/>
          <w:sz w:val="20"/>
          <w:szCs w:val="20"/>
        </w:rPr>
        <w:t>Homologación y cumplimiento de estándares internacionales.</w:t>
      </w:r>
    </w:p>
    <w:p w14:paraId="3E3F2F52" w14:textId="77777777" w:rsidR="00A66971" w:rsidRPr="00A66971" w:rsidRDefault="00A66971" w:rsidP="00A66971">
      <w:pPr>
        <w:numPr>
          <w:ilvl w:val="0"/>
          <w:numId w:val="4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A66971">
        <w:rPr>
          <w:rFonts w:ascii="Arial" w:hAnsi="Arial" w:cs="Arial"/>
          <w:sz w:val="20"/>
          <w:szCs w:val="20"/>
        </w:rPr>
        <w:t>Ventajas de una plataforma modular estandarizada.</w:t>
      </w:r>
    </w:p>
    <w:p w14:paraId="1907209A" w14:textId="77777777" w:rsidR="00A66971" w:rsidRPr="00A66971" w:rsidRDefault="00A66971" w:rsidP="00A66971">
      <w:pPr>
        <w:numPr>
          <w:ilvl w:val="0"/>
          <w:numId w:val="4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A66971">
        <w:rPr>
          <w:rFonts w:ascii="Arial" w:hAnsi="Arial" w:cs="Arial"/>
          <w:sz w:val="20"/>
          <w:szCs w:val="20"/>
        </w:rPr>
        <w:t>Cómo Ri4Power facilita el cumplimiento normativo mediante verificaciones de diseño.</w:t>
      </w:r>
    </w:p>
    <w:p w14:paraId="417A762F" w14:textId="77777777" w:rsidR="00A66971" w:rsidRPr="00A66971" w:rsidRDefault="00A66971" w:rsidP="00A66971">
      <w:pPr>
        <w:numPr>
          <w:ilvl w:val="0"/>
          <w:numId w:val="4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A66971">
        <w:rPr>
          <w:rFonts w:ascii="Arial" w:hAnsi="Arial" w:cs="Arial"/>
          <w:sz w:val="20"/>
          <w:szCs w:val="20"/>
        </w:rPr>
        <w:t>Estrategias para desarrollar proyectos de distribución de energía de forma más eficiente, segura y flexible.</w:t>
      </w:r>
    </w:p>
    <w:p w14:paraId="4A8F7DBB" w14:textId="77777777" w:rsidR="00A66971" w:rsidRDefault="00A66971" w:rsidP="0012146C">
      <w:pPr>
        <w:jc w:val="both"/>
        <w:rPr>
          <w:rFonts w:ascii="Arial" w:hAnsi="Arial" w:cs="Arial"/>
          <w:sz w:val="20"/>
          <w:szCs w:val="20"/>
        </w:rPr>
      </w:pPr>
    </w:p>
    <w:p w14:paraId="46E76769" w14:textId="77777777" w:rsidR="00A66971" w:rsidRDefault="00A66971" w:rsidP="0012146C">
      <w:pPr>
        <w:jc w:val="both"/>
        <w:rPr>
          <w:rFonts w:ascii="Arial" w:hAnsi="Arial" w:cs="Arial"/>
          <w:sz w:val="20"/>
          <w:szCs w:val="20"/>
        </w:rPr>
      </w:pPr>
    </w:p>
    <w:p w14:paraId="1141F4A2" w14:textId="77777777" w:rsidR="00A66971" w:rsidRDefault="00A66971" w:rsidP="0012146C">
      <w:pPr>
        <w:jc w:val="both"/>
        <w:rPr>
          <w:rFonts w:ascii="Arial" w:hAnsi="Arial" w:cs="Arial"/>
          <w:sz w:val="20"/>
          <w:szCs w:val="20"/>
        </w:rPr>
      </w:pPr>
    </w:p>
    <w:p w14:paraId="5ACC6AE1" w14:textId="697676C8" w:rsidR="00A10865" w:rsidRDefault="00A66971" w:rsidP="0012146C">
      <w:pPr>
        <w:jc w:val="both"/>
        <w:rPr>
          <w:rFonts w:ascii="Arial" w:hAnsi="Arial" w:cs="Arial"/>
          <w:sz w:val="20"/>
          <w:szCs w:val="20"/>
        </w:rPr>
      </w:pPr>
      <w:r w:rsidRPr="00A66971">
        <w:rPr>
          <w:rFonts w:ascii="Arial" w:hAnsi="Arial" w:cs="Arial"/>
          <w:sz w:val="20"/>
          <w:szCs w:val="20"/>
        </w:rPr>
        <w:t>Mediante ejemplos prácticos, los participantes podrán comprender mejor las implicaciones de cada normativa y descubrir cómo una plataforma modular estandarizada puede ayudarles a simplificar sus proyectos y adaptarse a las exigencias actuales del mercado.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225F6549" w14:textId="77777777" w:rsidR="00A66971" w:rsidRPr="0012146C" w:rsidRDefault="00A66971" w:rsidP="0012146C">
      <w:pPr>
        <w:jc w:val="both"/>
        <w:rPr>
          <w:rFonts w:ascii="Arial" w:hAnsi="Arial" w:cs="Arial"/>
          <w:sz w:val="20"/>
          <w:szCs w:val="20"/>
        </w:rPr>
      </w:pPr>
    </w:p>
    <w:p w14:paraId="7FBA8251" w14:textId="77777777" w:rsidR="00A66971" w:rsidRPr="00A66971" w:rsidRDefault="00A66971" w:rsidP="00A66971">
      <w:pPr>
        <w:spacing w:after="0"/>
        <w:jc w:val="both"/>
        <w:rPr>
          <w:rFonts w:ascii="Arial" w:hAnsi="Arial" w:cs="Arial"/>
          <w:sz w:val="20"/>
          <w:szCs w:val="20"/>
        </w:rPr>
      </w:pPr>
      <w:r w:rsidRPr="00A66971">
        <w:rPr>
          <w:rFonts w:ascii="Arial" w:hAnsi="Arial" w:cs="Arial"/>
          <w:b/>
          <w:bCs/>
          <w:sz w:val="20"/>
          <w:szCs w:val="20"/>
        </w:rPr>
        <w:t>Fecha</w:t>
      </w:r>
      <w:r w:rsidRPr="00A66971">
        <w:rPr>
          <w:rFonts w:ascii="Arial" w:hAnsi="Arial" w:cs="Arial"/>
          <w:sz w:val="20"/>
          <w:szCs w:val="20"/>
        </w:rPr>
        <w:t>: Martes, 6 de octubre de 2026</w:t>
      </w:r>
    </w:p>
    <w:p w14:paraId="31266C51" w14:textId="7179A960" w:rsidR="00A66971" w:rsidRPr="00A66971" w:rsidRDefault="00A66971" w:rsidP="00A66971">
      <w:pPr>
        <w:spacing w:after="0"/>
        <w:jc w:val="both"/>
        <w:rPr>
          <w:rFonts w:ascii="Arial" w:hAnsi="Arial" w:cs="Arial"/>
          <w:sz w:val="20"/>
          <w:szCs w:val="20"/>
          <w:lang w:val="pt-PT"/>
        </w:rPr>
      </w:pPr>
      <w:r w:rsidRPr="00A66971">
        <w:rPr>
          <w:rFonts w:ascii="Arial" w:hAnsi="Arial" w:cs="Arial"/>
          <w:b/>
          <w:bCs/>
          <w:sz w:val="20"/>
          <w:szCs w:val="20"/>
          <w:lang w:val="pt-PT"/>
        </w:rPr>
        <w:t>Horario:</w:t>
      </w:r>
      <w:r w:rsidRPr="00A66971">
        <w:rPr>
          <w:rFonts w:ascii="Arial" w:hAnsi="Arial" w:cs="Arial"/>
          <w:sz w:val="20"/>
          <w:szCs w:val="20"/>
          <w:lang w:val="pt-PT"/>
        </w:rPr>
        <w:t xml:space="preserve"> De 10:00 a 11:00 h</w:t>
      </w:r>
    </w:p>
    <w:p w14:paraId="2A1621E4" w14:textId="3E9C6C69" w:rsidR="00A66971" w:rsidRPr="00A66971" w:rsidRDefault="00A66971" w:rsidP="00A66971">
      <w:pPr>
        <w:spacing w:after="0"/>
        <w:jc w:val="both"/>
        <w:rPr>
          <w:rFonts w:ascii="Arial" w:hAnsi="Arial" w:cs="Arial"/>
          <w:sz w:val="20"/>
          <w:szCs w:val="20"/>
          <w:lang w:val="pt-PT"/>
        </w:rPr>
      </w:pPr>
      <w:r w:rsidRPr="00A66971">
        <w:rPr>
          <w:rFonts w:ascii="Arial" w:hAnsi="Arial" w:cs="Arial"/>
          <w:b/>
          <w:bCs/>
          <w:sz w:val="20"/>
          <w:szCs w:val="20"/>
          <w:lang w:val="pt-PT"/>
        </w:rPr>
        <w:t>Formato:</w:t>
      </w:r>
      <w:r w:rsidRPr="00A66971">
        <w:rPr>
          <w:rFonts w:ascii="Arial" w:hAnsi="Arial" w:cs="Arial"/>
          <w:sz w:val="20"/>
          <w:szCs w:val="20"/>
          <w:lang w:val="pt-PT"/>
        </w:rPr>
        <w:t xml:space="preserve"> Online</w:t>
      </w:r>
    </w:p>
    <w:p w14:paraId="6F2D2781" w14:textId="32917156" w:rsidR="00A10865" w:rsidRPr="0012146C" w:rsidRDefault="00A66971" w:rsidP="00A66971">
      <w:pPr>
        <w:spacing w:after="0"/>
        <w:jc w:val="both"/>
        <w:rPr>
          <w:rFonts w:ascii="Arial" w:hAnsi="Arial" w:cs="Arial"/>
          <w:sz w:val="20"/>
          <w:szCs w:val="20"/>
        </w:rPr>
      </w:pPr>
      <w:hyperlink r:id="rId7" w:history="1">
        <w:r w:rsidRPr="00FE04BD">
          <w:rPr>
            <w:rStyle w:val="Hipervnculo"/>
            <w:rFonts w:ascii="Arial" w:hAnsi="Arial" w:cs="Arial"/>
            <w:b/>
            <w:bCs/>
            <w:sz w:val="20"/>
            <w:szCs w:val="20"/>
          </w:rPr>
          <w:t>Inscripción</w:t>
        </w:r>
      </w:hyperlink>
    </w:p>
    <w:p w14:paraId="1C57A6CA" w14:textId="0A04E566" w:rsidR="00C8393D" w:rsidRPr="00A66971" w:rsidRDefault="00C8393D" w:rsidP="00C8393D">
      <w:pPr>
        <w:spacing w:after="0"/>
        <w:rPr>
          <w:rFonts w:ascii="Arial" w:hAnsi="Arial" w:cs="Arial"/>
          <w:sz w:val="20"/>
          <w:szCs w:val="20"/>
        </w:rPr>
      </w:pPr>
    </w:p>
    <w:sectPr w:rsidR="00C8393D" w:rsidRPr="00A66971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64235" w14:textId="77777777" w:rsidR="003C4A9A" w:rsidRDefault="003C4A9A" w:rsidP="00C542F6">
      <w:pPr>
        <w:spacing w:after="0" w:line="240" w:lineRule="auto"/>
      </w:pPr>
      <w:r>
        <w:separator/>
      </w:r>
    </w:p>
  </w:endnote>
  <w:endnote w:type="continuationSeparator" w:id="0">
    <w:p w14:paraId="1C4591A3" w14:textId="77777777" w:rsidR="003C4A9A" w:rsidRDefault="003C4A9A" w:rsidP="00C54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68E05" w14:textId="6CD0B5E6" w:rsidR="00C542F6" w:rsidRDefault="00C542F6">
    <w:pPr>
      <w:pStyle w:val="Piedepgina"/>
    </w:pPr>
    <w:r>
      <w:rPr>
        <w:noProof/>
        <w:szCs w:val="20"/>
      </w:rPr>
      <w:drawing>
        <wp:anchor distT="0" distB="0" distL="114300" distR="114300" simplePos="0" relativeHeight="251663360" behindDoc="1" locked="0" layoutInCell="1" allowOverlap="1" wp14:anchorId="642AE666" wp14:editId="518ED5AC">
          <wp:simplePos x="0" y="0"/>
          <wp:positionH relativeFrom="page">
            <wp:posOffset>968375</wp:posOffset>
          </wp:positionH>
          <wp:positionV relativeFrom="page">
            <wp:posOffset>10308590</wp:posOffset>
          </wp:positionV>
          <wp:extent cx="1767840" cy="93345"/>
          <wp:effectExtent l="0" t="0" r="0" b="0"/>
          <wp:wrapNone/>
          <wp:docPr id="18" name="Bild 18" descr="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7840" cy="93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270D1">
      <w:rPr>
        <w:noProof/>
      </w:rPr>
      <w:drawing>
        <wp:anchor distT="0" distB="0" distL="0" distR="0" simplePos="0" relativeHeight="251662336" behindDoc="0" locked="0" layoutInCell="1" allowOverlap="0" wp14:anchorId="0C85EEA9" wp14:editId="35C3BA9C">
          <wp:simplePos x="0" y="0"/>
          <wp:positionH relativeFrom="margin">
            <wp:posOffset>-1080770</wp:posOffset>
          </wp:positionH>
          <wp:positionV relativeFrom="topMargin">
            <wp:posOffset>10000449</wp:posOffset>
          </wp:positionV>
          <wp:extent cx="7773670" cy="182880"/>
          <wp:effectExtent l="0" t="0" r="0" b="0"/>
          <wp:wrapThrough wrapText="bothSides">
            <wp:wrapPolygon edited="0">
              <wp:start x="0" y="0"/>
              <wp:lineTo x="0" y="19500"/>
              <wp:lineTo x="21561" y="19500"/>
              <wp:lineTo x="21561" y="0"/>
              <wp:lineTo x="0" y="0"/>
            </wp:wrapPolygon>
          </wp:wrapThrough>
          <wp:docPr id="29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Grafik 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773670" cy="18288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785372" w14:textId="77777777" w:rsidR="003C4A9A" w:rsidRDefault="003C4A9A" w:rsidP="00C542F6">
      <w:pPr>
        <w:spacing w:after="0" w:line="240" w:lineRule="auto"/>
      </w:pPr>
      <w:r>
        <w:separator/>
      </w:r>
    </w:p>
  </w:footnote>
  <w:footnote w:type="continuationSeparator" w:id="0">
    <w:p w14:paraId="0F7EAC54" w14:textId="77777777" w:rsidR="003C4A9A" w:rsidRDefault="003C4A9A" w:rsidP="00C54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B461B" w14:textId="77777777" w:rsidR="00C542F6" w:rsidRDefault="00C542F6" w:rsidP="00C542F6">
    <w:pPr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</w:p>
  <w:p w14:paraId="41CD651B" w14:textId="77777777" w:rsidR="00C542F6" w:rsidRDefault="00C542F6" w:rsidP="00C542F6">
    <w:pPr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7FAC9AD7" wp14:editId="1BBD28BD">
          <wp:simplePos x="0" y="0"/>
          <wp:positionH relativeFrom="page">
            <wp:posOffset>6409055</wp:posOffset>
          </wp:positionH>
          <wp:positionV relativeFrom="page">
            <wp:posOffset>507365</wp:posOffset>
          </wp:positionV>
          <wp:extent cx="635000" cy="914400"/>
          <wp:effectExtent l="19050" t="0" r="0" b="0"/>
          <wp:wrapThrough wrapText="bothSides">
            <wp:wrapPolygon edited="0">
              <wp:start x="-648" y="0"/>
              <wp:lineTo x="-648" y="21150"/>
              <wp:lineTo x="21384" y="21150"/>
              <wp:lineTo x="21384" y="0"/>
              <wp:lineTo x="-648" y="0"/>
            </wp:wrapPolygon>
          </wp:wrapThrough>
          <wp:docPr id="111" name="Bild 22" descr="Una imagen que contiene fuente, gráficos, captura de pantalla, texto.&#10;&#10;El contenido generado por IA puede ser inestabl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" name="Bild 22" descr="Ein Bild, das Schrift, Grafiken, Screenshot, Text enthält.&#10;&#10;KI-generierte Inhalte können fehlerhaft sein.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42D08D3D" wp14:editId="55C727F0">
              <wp:simplePos x="0" y="0"/>
              <wp:positionH relativeFrom="page">
                <wp:posOffset>864235</wp:posOffset>
              </wp:positionH>
              <wp:positionV relativeFrom="page">
                <wp:posOffset>449580</wp:posOffset>
              </wp:positionV>
              <wp:extent cx="1485900" cy="351790"/>
              <wp:effectExtent l="0" t="1905" r="2540" b="0"/>
              <wp:wrapNone/>
              <wp:docPr id="204224186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5900" cy="351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C05817" w14:textId="77777777" w:rsidR="00C542F6" w:rsidRPr="00E46942" w:rsidRDefault="00C542F6" w:rsidP="00C542F6">
                          <w:pPr>
                            <w:kinsoku w:val="0"/>
                            <w:overflowPunct w:val="0"/>
                            <w:spacing w:before="5"/>
                            <w:ind w:left="23"/>
                            <w:rPr>
                              <w:color w:val="231F20"/>
                              <w:spacing w:val="10"/>
                              <w:sz w:val="46"/>
                              <w:szCs w:val="46"/>
                            </w:rPr>
                          </w:pPr>
                          <w:r>
                            <w:rPr>
                              <w:color w:val="231F20"/>
                              <w:sz w:val="46"/>
                              <w:szCs w:val="46"/>
                            </w:rPr>
                            <w:t>PRENSA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D08D3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8.05pt;margin-top:35.4pt;width:117pt;height:27.7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" o:allowincell="f" filled="f" stroked="f">
              <v:textbox inset="0,0,0,0">
                <w:txbxContent>
                  <w:p w14:paraId="3BC05817" w14:textId="77777777" w:rsidR="00C542F6" w:rsidRPr="00E46942" w:rsidRDefault="00C542F6" w:rsidP="00C542F6">
                    <w:pPr>
                      <w:kinsoku w:val="0"/>
                      <w:overflowPunct w:val="0"/>
                      <w:spacing w:before="5"/>
                      <w:ind w:left="23"/>
                      <w:rPr>
                        <w:color w:val="231F20"/>
                        <w:spacing w:val="10"/>
                        <w:sz w:val="46"/>
                        <w:szCs w:val="46"/>
                      </w:rPr>
                    </w:pPr>
                    <w:r>
                      <w:rPr>
                        <w:color w:val="231F20"/>
                        <w:sz w:val="46"/>
                        <w:szCs w:val="46"/>
                      </w:rPr>
                      <w:t>PRENSA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66800924" w14:textId="77777777" w:rsidR="00C542F6" w:rsidRDefault="00C542F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614F3"/>
    <w:multiLevelType w:val="multilevel"/>
    <w:tmpl w:val="D0946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855A73"/>
    <w:multiLevelType w:val="multilevel"/>
    <w:tmpl w:val="7C7E806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CB163D6"/>
    <w:multiLevelType w:val="multilevel"/>
    <w:tmpl w:val="9EBC1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E7453C"/>
    <w:multiLevelType w:val="hybridMultilevel"/>
    <w:tmpl w:val="818668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7685061">
    <w:abstractNumId w:val="0"/>
  </w:num>
  <w:num w:numId="2" w16cid:durableId="1033384628">
    <w:abstractNumId w:val="3"/>
  </w:num>
  <w:num w:numId="3" w16cid:durableId="1928344725">
    <w:abstractNumId w:val="1"/>
  </w:num>
  <w:num w:numId="4" w16cid:durableId="3793995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B2C"/>
    <w:rsid w:val="00022B2C"/>
    <w:rsid w:val="0012146C"/>
    <w:rsid w:val="001342E7"/>
    <w:rsid w:val="001964A3"/>
    <w:rsid w:val="001A7FAD"/>
    <w:rsid w:val="002C4D09"/>
    <w:rsid w:val="003333CB"/>
    <w:rsid w:val="003C4A9A"/>
    <w:rsid w:val="0075296C"/>
    <w:rsid w:val="00764534"/>
    <w:rsid w:val="008B233D"/>
    <w:rsid w:val="008D0D73"/>
    <w:rsid w:val="009C56D7"/>
    <w:rsid w:val="00A10865"/>
    <w:rsid w:val="00A66971"/>
    <w:rsid w:val="00A96BB6"/>
    <w:rsid w:val="00AD13C2"/>
    <w:rsid w:val="00B03FB8"/>
    <w:rsid w:val="00B93B44"/>
    <w:rsid w:val="00BC00D9"/>
    <w:rsid w:val="00BE3CEC"/>
    <w:rsid w:val="00C53CC4"/>
    <w:rsid w:val="00C542F6"/>
    <w:rsid w:val="00C8393D"/>
    <w:rsid w:val="00DF67E8"/>
    <w:rsid w:val="00E72CC8"/>
    <w:rsid w:val="00EE07E4"/>
    <w:rsid w:val="00F56155"/>
    <w:rsid w:val="00F568AA"/>
    <w:rsid w:val="00FE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F1C7C"/>
  <w15:chartTrackingRefBased/>
  <w15:docId w15:val="{D446225E-04B5-4F32-BAAB-8A18784C1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22B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22B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22B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22B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22B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22B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22B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22B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22B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22B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022B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22B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22B2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22B2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22B2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22B2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22B2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22B2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22B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22B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22B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22B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22B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22B2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22B2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22B2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22B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22B2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22B2C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C8393D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8393D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C542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42F6"/>
  </w:style>
  <w:style w:type="paragraph" w:styleId="Piedepgina">
    <w:name w:val="footer"/>
    <w:basedOn w:val="Normal"/>
    <w:link w:val="PiedepginaCar"/>
    <w:uiPriority w:val="99"/>
    <w:unhideWhenUsed/>
    <w:rsid w:val="00C542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42F6"/>
  </w:style>
  <w:style w:type="paragraph" w:customStyle="1" w:styleId="berschrift-H1">
    <w:name w:val="Überschrift-H1"/>
    <w:uiPriority w:val="1"/>
    <w:qFormat/>
    <w:rsid w:val="00C542F6"/>
    <w:pPr>
      <w:kinsoku w:val="0"/>
      <w:overflowPunct w:val="0"/>
      <w:spacing w:after="0" w:line="320" w:lineRule="exact"/>
      <w:ind w:right="2098"/>
    </w:pPr>
    <w:rPr>
      <w:rFonts w:ascii="Arial" w:eastAsiaTheme="minorEastAsia" w:hAnsi="Arial" w:cs="Arial"/>
      <w:b/>
      <w:bCs/>
      <w:color w:val="000000" w:themeColor="text1"/>
      <w:kern w:val="0"/>
      <w:sz w:val="28"/>
      <w:szCs w:val="28"/>
      <w:lang w:val="de-DE" w:eastAsia="de-DE"/>
      <w14:ligatures w14:val="none"/>
    </w:rPr>
  </w:style>
  <w:style w:type="paragraph" w:customStyle="1" w:styleId="Ort-Datum">
    <w:name w:val="Ort-Datum"/>
    <w:basedOn w:val="Normal"/>
    <w:uiPriority w:val="1"/>
    <w:qFormat/>
    <w:rsid w:val="00C542F6"/>
    <w:pPr>
      <w:kinsoku w:val="0"/>
      <w:overflowPunct w:val="0"/>
      <w:spacing w:after="320" w:line="320" w:lineRule="exact"/>
      <w:ind w:right="2098"/>
    </w:pPr>
    <w:rPr>
      <w:rFonts w:ascii="Arial" w:eastAsiaTheme="minorEastAsia" w:hAnsi="Arial" w:cs="Arial"/>
      <w:bCs/>
      <w:color w:val="000000" w:themeColor="text1"/>
      <w:kern w:val="0"/>
      <w:sz w:val="18"/>
      <w:szCs w:val="18"/>
      <w:lang w:val="de-DE"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ttendee.gotowebinar.com/register/3399536479401293149?source=nd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3a28a66c-3c7f-463f-9f3d-483220f1d838}" enabled="1" method="Standard" siteId="{a8218bc3-7d4c-4a61-b912-a6ca487118d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486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Poch</dc:creator>
  <cp:keywords/>
  <dc:description/>
  <cp:lastModifiedBy>Nuria Poch</cp:lastModifiedBy>
  <cp:revision>6</cp:revision>
  <dcterms:created xsi:type="dcterms:W3CDTF">2026-08-06T08:44:00Z</dcterms:created>
  <dcterms:modified xsi:type="dcterms:W3CDTF">2026-09-25T10:59:00Z</dcterms:modified>
</cp:coreProperties>
</file>