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C" w:rsidRPr="0096378C" w:rsidRDefault="000F11EA" w:rsidP="0096378C">
      <w:pPr>
        <w:pStyle w:val="PIDachzeile"/>
        <w:tabs>
          <w:tab w:val="left" w:pos="5580"/>
        </w:tabs>
        <w:ind w:right="3490"/>
      </w:pPr>
      <w:r w:rsidRPr="006621FE">
        <w:rPr>
          <w:b/>
          <w:i w:val="0"/>
          <w:noProof/>
          <w:sz w:val="28"/>
          <w:szCs w:val="28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A11E0" wp14:editId="64ACAAA5">
                <wp:simplePos x="0" y="0"/>
                <wp:positionH relativeFrom="column">
                  <wp:posOffset>3647440</wp:posOffset>
                </wp:positionH>
                <wp:positionV relativeFrom="paragraph">
                  <wp:posOffset>-28575</wp:posOffset>
                </wp:positionV>
                <wp:extent cx="2633980" cy="40493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64" w:type="dxa"/>
                              <w:tblBorders>
                                <w:right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64"/>
                            </w:tblGrid>
                            <w:tr w:rsidR="00134BAE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6612B2" w:rsidRDefault="006612B2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</w:pPr>
                                </w:p>
                              </w:tc>
                            </w:tr>
                            <w:tr w:rsidR="00134BAE"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B33C98" w:rsidRPr="00B33C98" w:rsidRDefault="00B33C98" w:rsidP="00B33C98">
                                  <w:pPr>
                                    <w:pStyle w:val="PIKontakt"/>
                                    <w:rPr>
                                      <w:b/>
                                    </w:rPr>
                                  </w:pPr>
                                  <w:r w:rsidRPr="00B33C98">
                                    <w:rPr>
                                      <w:b/>
                                    </w:rPr>
                                    <w:t>Kontakt dla mediów:</w:t>
                                  </w:r>
                                </w:p>
                                <w:p w:rsidR="00B33C98" w:rsidRDefault="00B33C98" w:rsidP="00B33C98">
                                  <w:pPr>
                                    <w:pStyle w:val="PIKontakt"/>
                                  </w:pPr>
                                  <w:r w:rsidRPr="00B33C98">
                                    <w:t xml:space="preserve">Martyna </w:t>
                                  </w:r>
                                  <w:r w:rsidR="00C460FE">
                                    <w:t>Andziak</w:t>
                                  </w:r>
                                  <w:r w:rsidRPr="00B33C98">
                                    <w:t xml:space="preserve">, Best </w:t>
                                  </w:r>
                                  <w:proofErr w:type="spellStart"/>
                                  <w:r w:rsidRPr="00B33C98">
                                    <w:t>Brands</w:t>
                                  </w:r>
                                  <w:proofErr w:type="spellEnd"/>
                                  <w:r w:rsidRPr="00B33C98">
                                    <w:t xml:space="preserve"> PR</w:t>
                                  </w:r>
                                  <w:r w:rsidRPr="00B33C98">
                                    <w:br/>
                                    <w:t>te</w:t>
                                  </w:r>
                                  <w:r w:rsidR="007D0661">
                                    <w:t>l. 505 993 003</w:t>
                                  </w:r>
                                  <w:r w:rsidR="007D0661">
                                    <w:br/>
                                    <w:t xml:space="preserve"> e-mail: </w:t>
                                  </w:r>
                                  <w:r w:rsidR="00BB4FFF" w:rsidRPr="00BB4FFF">
                                    <w:t>m.andziak@bestbrandspr.pl</w:t>
                                  </w:r>
                                </w:p>
                                <w:p w:rsidR="006612B2" w:rsidRDefault="00B33C98" w:rsidP="00B33C98">
                                  <w:pPr>
                                    <w:pStyle w:val="PIKontakt"/>
                                  </w:pPr>
                                  <w:proofErr w:type="spellStart"/>
                                  <w:r w:rsidRPr="00B33C98">
                                    <w:t>Rittal</w:t>
                                  </w:r>
                                  <w:proofErr w:type="spellEnd"/>
                                  <w:r w:rsidRPr="00B33C98">
                                    <w:t xml:space="preserve"> Sp. z o.o.</w:t>
                                  </w:r>
                                  <w:r w:rsidRPr="00B33C98">
                                    <w:br/>
                                    <w:t>Krakowiaków 48</w:t>
                                  </w:r>
                                  <w:r w:rsidRPr="00B33C98">
                                    <w:br/>
                                    <w:t>02-255 Warszawa</w:t>
                                  </w:r>
                                  <w:r w:rsidRPr="00B33C98">
                                    <w:br/>
                                    <w:t>www.rittal.pl</w:t>
                                  </w:r>
                                </w:p>
                              </w:tc>
                            </w:tr>
                            <w:tr w:rsidR="00134BAE">
                              <w:trPr>
                                <w:trHeight w:val="1418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6612B2" w:rsidRDefault="006612B2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612B2" w:rsidRDefault="00661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2pt;margin-top:-2.25pt;width:207.4pt;height:3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11gwIAABA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" stroked="f">
                <v:textbox>
                  <w:txbxContent>
                    <w:tbl>
                      <w:tblPr>
                        <w:tblW w:w="3864" w:type="dxa"/>
                        <w:tblBorders>
                          <w:right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64"/>
                      </w:tblGrid>
                      <w:tr w:rsidR="00134BAE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6612B2" w:rsidRDefault="006612B2">
                            <w:pPr>
                              <w:pStyle w:val="PIKontakt"/>
                              <w:tabs>
                                <w:tab w:val="left" w:pos="3600"/>
                              </w:tabs>
                            </w:pPr>
                          </w:p>
                        </w:tc>
                      </w:tr>
                      <w:tr w:rsidR="00134BAE"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B33C98" w:rsidRPr="00B33C98" w:rsidRDefault="00B33C98" w:rsidP="00B33C98">
                            <w:pPr>
                              <w:pStyle w:val="PIKontakt"/>
                              <w:rPr>
                                <w:b/>
                              </w:rPr>
                            </w:pPr>
                            <w:r w:rsidRPr="00B33C98">
                              <w:rPr>
                                <w:b/>
                              </w:rPr>
                              <w:t>Kontakt dla mediów:</w:t>
                            </w:r>
                          </w:p>
                          <w:p w:rsidR="00B33C98" w:rsidRDefault="00B33C98" w:rsidP="00B33C98">
                            <w:pPr>
                              <w:pStyle w:val="PIKontakt"/>
                            </w:pPr>
                            <w:r w:rsidRPr="00B33C98">
                              <w:t xml:space="preserve">Martyna </w:t>
                            </w:r>
                            <w:r w:rsidR="00C460FE">
                              <w:t>Andziak</w:t>
                            </w:r>
                            <w:r w:rsidRPr="00B33C98">
                              <w:t xml:space="preserve">, Best </w:t>
                            </w:r>
                            <w:proofErr w:type="spellStart"/>
                            <w:r w:rsidRPr="00B33C98">
                              <w:t>Brands</w:t>
                            </w:r>
                            <w:proofErr w:type="spellEnd"/>
                            <w:r w:rsidRPr="00B33C98">
                              <w:t xml:space="preserve"> PR</w:t>
                            </w:r>
                            <w:r w:rsidRPr="00B33C98">
                              <w:br/>
                              <w:t>te</w:t>
                            </w:r>
                            <w:r w:rsidR="007D0661">
                              <w:t>l. 505 993 003</w:t>
                            </w:r>
                            <w:r w:rsidR="007D0661">
                              <w:br/>
                              <w:t xml:space="preserve"> e-mail: </w:t>
                            </w:r>
                            <w:r w:rsidR="00BB4FFF" w:rsidRPr="00BB4FFF">
                              <w:t>m.andziak@bestbrandspr.pl</w:t>
                            </w:r>
                          </w:p>
                          <w:p w:rsidR="006612B2" w:rsidRDefault="00B33C98" w:rsidP="00B33C98">
                            <w:pPr>
                              <w:pStyle w:val="PIKontakt"/>
                            </w:pPr>
                            <w:proofErr w:type="spellStart"/>
                            <w:r w:rsidRPr="00B33C98">
                              <w:t>Rittal</w:t>
                            </w:r>
                            <w:proofErr w:type="spellEnd"/>
                            <w:r w:rsidRPr="00B33C98">
                              <w:t xml:space="preserve"> Sp. z o.o.</w:t>
                            </w:r>
                            <w:r w:rsidRPr="00B33C98">
                              <w:br/>
                              <w:t>Krakowiaków 48</w:t>
                            </w:r>
                            <w:r w:rsidRPr="00B33C98">
                              <w:br/>
                              <w:t>02-255 Warszawa</w:t>
                            </w:r>
                            <w:r w:rsidRPr="00B33C98">
                              <w:br/>
                              <w:t>www.rittal.pl</w:t>
                            </w:r>
                          </w:p>
                        </w:tc>
                      </w:tr>
                      <w:tr w:rsidR="00134BAE">
                        <w:trPr>
                          <w:trHeight w:val="1418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6612B2" w:rsidRDefault="006612B2">
                            <w:pPr>
                              <w:pStyle w:val="PIKontakt"/>
                              <w:tabs>
                                <w:tab w:val="left" w:pos="3600"/>
                              </w:tabs>
                            </w:pPr>
                          </w:p>
                        </w:tc>
                      </w:tr>
                    </w:tbl>
                    <w:p w:rsidR="006612B2" w:rsidRDefault="006612B2"/>
                  </w:txbxContent>
                </v:textbox>
              </v:shape>
            </w:pict>
          </mc:Fallback>
        </mc:AlternateContent>
      </w:r>
      <w:r w:rsidR="00B83A96" w:rsidRPr="00B83A96">
        <w:rPr>
          <w:b/>
          <w:i w:val="0"/>
          <w:noProof/>
          <w:sz w:val="28"/>
          <w:szCs w:val="28"/>
          <w:u w:val="none"/>
          <w:lang w:bidi="ar-SA"/>
        </w:rPr>
        <w:t>Nowa siedziba European OCP Experience Center</w:t>
      </w:r>
    </w:p>
    <w:p w:rsidR="0096378C" w:rsidRDefault="00B83A96" w:rsidP="0096378C">
      <w:pPr>
        <w:pStyle w:val="PIFlietext"/>
        <w:rPr>
          <w:b/>
        </w:rPr>
      </w:pPr>
      <w:r w:rsidRPr="00B83A96">
        <w:rPr>
          <w:b/>
        </w:rPr>
        <w:t xml:space="preserve">W firmach </w:t>
      </w:r>
      <w:proofErr w:type="spellStart"/>
      <w:r w:rsidRPr="00B83A96">
        <w:rPr>
          <w:b/>
        </w:rPr>
        <w:t>Circle</w:t>
      </w:r>
      <w:proofErr w:type="spellEnd"/>
      <w:r w:rsidRPr="00B83A96">
        <w:rPr>
          <w:b/>
        </w:rPr>
        <w:t xml:space="preserve"> B i </w:t>
      </w:r>
      <w:proofErr w:type="spellStart"/>
      <w:r w:rsidRPr="00B83A96">
        <w:rPr>
          <w:b/>
        </w:rPr>
        <w:t>Rittal</w:t>
      </w:r>
      <w:proofErr w:type="spellEnd"/>
      <w:r w:rsidRPr="00B83A96">
        <w:rPr>
          <w:b/>
        </w:rPr>
        <w:t xml:space="preserve"> podjęto decyzję o przeni</w:t>
      </w:r>
      <w:r w:rsidRPr="00B83A96">
        <w:rPr>
          <w:b/>
        </w:rPr>
        <w:t>e</w:t>
      </w:r>
      <w:r w:rsidRPr="00B83A96">
        <w:rPr>
          <w:b/>
        </w:rPr>
        <w:t xml:space="preserve">sieniu </w:t>
      </w:r>
      <w:proofErr w:type="spellStart"/>
      <w:r w:rsidRPr="00B83A96">
        <w:rPr>
          <w:b/>
        </w:rPr>
        <w:t>European</w:t>
      </w:r>
      <w:proofErr w:type="spellEnd"/>
      <w:r w:rsidRPr="00B83A96">
        <w:rPr>
          <w:b/>
        </w:rPr>
        <w:t xml:space="preserve"> Open </w:t>
      </w:r>
      <w:proofErr w:type="spellStart"/>
      <w:r w:rsidRPr="00B83A96">
        <w:rPr>
          <w:b/>
        </w:rPr>
        <w:t>Compute</w:t>
      </w:r>
      <w:proofErr w:type="spellEnd"/>
      <w:r w:rsidRPr="00B83A96">
        <w:rPr>
          <w:b/>
        </w:rPr>
        <w:t xml:space="preserve"> Project (OCP) </w:t>
      </w:r>
      <w:proofErr w:type="spellStart"/>
      <w:r w:rsidRPr="00B83A96">
        <w:rPr>
          <w:b/>
        </w:rPr>
        <w:t>Experience</w:t>
      </w:r>
      <w:proofErr w:type="spellEnd"/>
      <w:r w:rsidRPr="00B83A96">
        <w:rPr>
          <w:b/>
        </w:rPr>
        <w:t xml:space="preserve"> Center do centrum danych </w:t>
      </w:r>
      <w:proofErr w:type="spellStart"/>
      <w:r w:rsidRPr="00B83A96">
        <w:rPr>
          <w:b/>
        </w:rPr>
        <w:t>maincubes</w:t>
      </w:r>
      <w:proofErr w:type="spellEnd"/>
      <w:r w:rsidRPr="00B83A96">
        <w:rPr>
          <w:b/>
        </w:rPr>
        <w:t xml:space="preserve"> AMS01, które znajduje się w pobliżu amsterdamski</w:t>
      </w:r>
      <w:r w:rsidRPr="00B83A96">
        <w:rPr>
          <w:b/>
        </w:rPr>
        <w:t>e</w:t>
      </w:r>
      <w:r w:rsidRPr="00B83A96">
        <w:rPr>
          <w:b/>
        </w:rPr>
        <w:t xml:space="preserve">go lotniska </w:t>
      </w:r>
      <w:proofErr w:type="spellStart"/>
      <w:r w:rsidRPr="00B83A96">
        <w:rPr>
          <w:b/>
        </w:rPr>
        <w:t>Schiphol</w:t>
      </w:r>
      <w:proofErr w:type="spellEnd"/>
      <w:r w:rsidRPr="00B83A96">
        <w:rPr>
          <w:b/>
        </w:rPr>
        <w:t xml:space="preserve"> International. Wcześniej OCP </w:t>
      </w:r>
      <w:proofErr w:type="spellStart"/>
      <w:r w:rsidRPr="00B83A96">
        <w:rPr>
          <w:b/>
        </w:rPr>
        <w:t>Experience</w:t>
      </w:r>
      <w:proofErr w:type="spellEnd"/>
      <w:r w:rsidRPr="00B83A96">
        <w:rPr>
          <w:b/>
        </w:rPr>
        <w:t xml:space="preserve"> Center było zlokalizowane w Switch Datacenter AMS1 w Amsterdamie.</w:t>
      </w:r>
    </w:p>
    <w:p w:rsidR="00B83A96" w:rsidRDefault="007A29DD" w:rsidP="00B83A96">
      <w:pPr>
        <w:pStyle w:val="PIFlietext"/>
      </w:pPr>
      <w:r>
        <w:t xml:space="preserve">Warszawa, </w:t>
      </w:r>
      <w:r w:rsidR="00FB086D">
        <w:t>2</w:t>
      </w:r>
      <w:r w:rsidR="00F83BB9">
        <w:t xml:space="preserve"> </w:t>
      </w:r>
      <w:r w:rsidR="00FB086D">
        <w:t>września</w:t>
      </w:r>
      <w:r w:rsidR="00C460FE">
        <w:t xml:space="preserve"> </w:t>
      </w:r>
      <w:r w:rsidR="00E525E3">
        <w:t>2019</w:t>
      </w:r>
      <w:r w:rsidR="0096378C">
        <w:t xml:space="preserve"> – </w:t>
      </w:r>
      <w:r w:rsidR="00B83A96">
        <w:t xml:space="preserve">OCP </w:t>
      </w:r>
      <w:proofErr w:type="spellStart"/>
      <w:r w:rsidR="00B83A96">
        <w:t>Experience</w:t>
      </w:r>
      <w:proofErr w:type="spellEnd"/>
      <w:r w:rsidR="00B83A96">
        <w:t xml:space="preserve"> Center </w:t>
      </w:r>
      <w:bookmarkStart w:id="0" w:name="_GoBack"/>
      <w:bookmarkEnd w:id="0"/>
      <w:r w:rsidR="00B83A96">
        <w:t xml:space="preserve">pełni funkcję centrum demonstracyjnego, może być również wykorzystywane jako środowisko testowe dla nowych centrów danych OCP </w:t>
      </w:r>
      <w:proofErr w:type="spellStart"/>
      <w:r w:rsidR="00B83A96">
        <w:t>Accepted</w:t>
      </w:r>
      <w:proofErr w:type="spellEnd"/>
      <w:r w:rsidR="00B83A96">
        <w:t xml:space="preserve">™ i OCP </w:t>
      </w:r>
      <w:proofErr w:type="spellStart"/>
      <w:r w:rsidR="00B83A96">
        <w:t>Inspired</w:t>
      </w:r>
      <w:proofErr w:type="spellEnd"/>
      <w:r w:rsidR="00B83A96">
        <w:t xml:space="preserve">™ oraz dla rozwiązań telekomunikacyjnych. Zadaniem </w:t>
      </w:r>
      <w:proofErr w:type="spellStart"/>
      <w:r w:rsidR="00B83A96">
        <w:t>European</w:t>
      </w:r>
      <w:proofErr w:type="spellEnd"/>
      <w:r w:rsidR="00B83A96">
        <w:t xml:space="preserve"> OCP </w:t>
      </w:r>
      <w:proofErr w:type="spellStart"/>
      <w:r w:rsidR="00B83A96">
        <w:t>Experience</w:t>
      </w:r>
      <w:proofErr w:type="spellEnd"/>
      <w:r w:rsidR="00B83A96">
        <w:t xml:space="preserve"> Center jest umożliwienie menedżerom ds. IT i data </w:t>
      </w:r>
      <w:proofErr w:type="spellStart"/>
      <w:r w:rsidR="00B83A96">
        <w:t>center</w:t>
      </w:r>
      <w:proofErr w:type="spellEnd"/>
      <w:r w:rsidR="00B83A96">
        <w:t xml:space="preserve"> zapozn</w:t>
      </w:r>
      <w:r w:rsidR="00B83A96">
        <w:t>a</w:t>
      </w:r>
      <w:r w:rsidR="00B83A96">
        <w:t xml:space="preserve">nia się ze wszystkimi zaletami standardu OCP w swoich placówkach. Jak podkreśla </w:t>
      </w:r>
      <w:proofErr w:type="spellStart"/>
      <w:r w:rsidR="00B83A96">
        <w:t>Andre</w:t>
      </w:r>
      <w:proofErr w:type="spellEnd"/>
      <w:r w:rsidR="00B83A96">
        <w:t xml:space="preserve"> </w:t>
      </w:r>
      <w:proofErr w:type="spellStart"/>
      <w:r w:rsidR="00B83A96">
        <w:t>Hiddinka</w:t>
      </w:r>
      <w:proofErr w:type="spellEnd"/>
      <w:r w:rsidR="00B83A96">
        <w:t xml:space="preserve">, menedżer ds. produktów infrastruktury IT </w:t>
      </w:r>
      <w:proofErr w:type="spellStart"/>
      <w:r w:rsidR="00B83A96">
        <w:t>RiMatrix</w:t>
      </w:r>
      <w:proofErr w:type="spellEnd"/>
      <w:r w:rsidR="00B83A96">
        <w:t xml:space="preserve"> w </w:t>
      </w:r>
      <w:proofErr w:type="spellStart"/>
      <w:r w:rsidR="00B83A96">
        <w:t>Rittal</w:t>
      </w:r>
      <w:proofErr w:type="spellEnd"/>
      <w:r w:rsidR="00B83A96">
        <w:t xml:space="preserve"> B.V. w Holandii, głównym powodem przeniesienia </w:t>
      </w:r>
      <w:proofErr w:type="spellStart"/>
      <w:r w:rsidR="00B83A96">
        <w:t>Experience</w:t>
      </w:r>
      <w:proofErr w:type="spellEnd"/>
      <w:r w:rsidR="00B83A96">
        <w:t xml:space="preserve"> Center w nowe miejsce była niedawna sprzedaż AMS1 przez Switch Datacenter</w:t>
      </w:r>
      <w:r w:rsidR="00B83A96" w:rsidRPr="00B83A96">
        <w:rPr>
          <w:i/>
        </w:rPr>
        <w:t>. „Dostrzegamy duży potencjał w projektach opartych na OCP, zarówno w Holandii, jak i na całym świecie. Nasza lokalizacja w Amsterdamie jest idealna dla gości z Holandii, właścicieli, a także mena</w:t>
      </w:r>
      <w:r w:rsidR="00B83A96" w:rsidRPr="00B83A96">
        <w:rPr>
          <w:i/>
        </w:rPr>
        <w:t>d</w:t>
      </w:r>
      <w:r w:rsidR="00B83A96" w:rsidRPr="00B83A96">
        <w:rPr>
          <w:i/>
        </w:rPr>
        <w:t>żerów centrów danych z zagranicy”</w:t>
      </w:r>
      <w:r w:rsidR="00B83A96">
        <w:t xml:space="preserve"> – dodaje </w:t>
      </w:r>
      <w:proofErr w:type="spellStart"/>
      <w:r w:rsidR="00B83A96">
        <w:t>Joris</w:t>
      </w:r>
      <w:proofErr w:type="spellEnd"/>
      <w:r w:rsidR="00B83A96">
        <w:t xml:space="preserve"> te </w:t>
      </w:r>
      <w:proofErr w:type="spellStart"/>
      <w:r w:rsidR="00B83A96">
        <w:t>Lintelo</w:t>
      </w:r>
      <w:proofErr w:type="spellEnd"/>
      <w:r w:rsidR="00B83A96">
        <w:t xml:space="preserve">, wiceprezes </w:t>
      </w:r>
      <w:proofErr w:type="spellStart"/>
      <w:r w:rsidR="00B83A96">
        <w:t>maincubes</w:t>
      </w:r>
      <w:proofErr w:type="spellEnd"/>
      <w:r w:rsidR="00B83A96">
        <w:t>.</w:t>
      </w:r>
    </w:p>
    <w:p w:rsidR="00B83A96" w:rsidRDefault="00B83A96" w:rsidP="00B83A96">
      <w:pPr>
        <w:pStyle w:val="PIFlietext"/>
      </w:pPr>
      <w:proofErr w:type="spellStart"/>
      <w:r>
        <w:t>European</w:t>
      </w:r>
      <w:proofErr w:type="spellEnd"/>
      <w:r>
        <w:t xml:space="preserve"> OCP </w:t>
      </w:r>
      <w:proofErr w:type="spellStart"/>
      <w:r>
        <w:t>Experience</w:t>
      </w:r>
      <w:proofErr w:type="spellEnd"/>
      <w:r>
        <w:t xml:space="preserve"> Center odgrywa ważną rolę we wdrażaniu koncepcji </w:t>
      </w:r>
      <w:proofErr w:type="spellStart"/>
      <w:r>
        <w:t>datacenter</w:t>
      </w:r>
      <w:proofErr w:type="spellEnd"/>
      <w:r>
        <w:t xml:space="preserve"> w standardzie OCP w Europie. </w:t>
      </w:r>
      <w:r w:rsidRPr="00B83A96">
        <w:rPr>
          <w:i/>
        </w:rPr>
        <w:t xml:space="preserve">„Cieszę się, że po sprzedaży AMS1 przez Switch Datacenter w firmach </w:t>
      </w:r>
      <w:proofErr w:type="spellStart"/>
      <w:r w:rsidRPr="00B83A96">
        <w:rPr>
          <w:i/>
        </w:rPr>
        <w:t>Rittal</w:t>
      </w:r>
      <w:proofErr w:type="spellEnd"/>
      <w:r w:rsidRPr="00B83A96">
        <w:rPr>
          <w:i/>
        </w:rPr>
        <w:t xml:space="preserve"> i </w:t>
      </w:r>
      <w:proofErr w:type="spellStart"/>
      <w:r w:rsidRPr="00B83A96">
        <w:rPr>
          <w:i/>
        </w:rPr>
        <w:t>Circle</w:t>
      </w:r>
      <w:proofErr w:type="spellEnd"/>
      <w:r w:rsidRPr="00B83A96">
        <w:rPr>
          <w:i/>
        </w:rPr>
        <w:t xml:space="preserve"> B zdecydow</w:t>
      </w:r>
      <w:r w:rsidRPr="00B83A96">
        <w:rPr>
          <w:i/>
        </w:rPr>
        <w:t>a</w:t>
      </w:r>
      <w:r w:rsidRPr="00B83A96">
        <w:rPr>
          <w:i/>
        </w:rPr>
        <w:t>no się na współpracę z ważnym, niezależnym, europe</w:t>
      </w:r>
      <w:r w:rsidRPr="00B83A96">
        <w:rPr>
          <w:i/>
        </w:rPr>
        <w:t>j</w:t>
      </w:r>
      <w:r w:rsidRPr="00B83A96">
        <w:rPr>
          <w:i/>
        </w:rPr>
        <w:t xml:space="preserve">skim operatorem centrów danych, jakim jest </w:t>
      </w:r>
      <w:proofErr w:type="spellStart"/>
      <w:r w:rsidRPr="00B83A96">
        <w:rPr>
          <w:i/>
        </w:rPr>
        <w:t>maincubes</w:t>
      </w:r>
      <w:proofErr w:type="spellEnd"/>
      <w:r w:rsidRPr="00B83A96">
        <w:rPr>
          <w:i/>
        </w:rPr>
        <w:t>. Cieszę się również, że te trzy firmy będą nadal wspierać rozwój OCP w Europie”</w:t>
      </w:r>
      <w:r>
        <w:t xml:space="preserve"> – mówi Steve </w:t>
      </w:r>
      <w:proofErr w:type="spellStart"/>
      <w:r>
        <w:t>Helvie</w:t>
      </w:r>
      <w:proofErr w:type="spellEnd"/>
      <w:r>
        <w:t xml:space="preserve">, Vice </w:t>
      </w:r>
      <w:proofErr w:type="spellStart"/>
      <w:r>
        <w:lastRenderedPageBreak/>
        <w:t>President</w:t>
      </w:r>
      <w:proofErr w:type="spellEnd"/>
      <w:r>
        <w:t xml:space="preserve"> of Channel for Open </w:t>
      </w:r>
      <w:proofErr w:type="spellStart"/>
      <w:r>
        <w:t>Compute</w:t>
      </w:r>
      <w:proofErr w:type="spellEnd"/>
      <w:r>
        <w:t xml:space="preserve"> Project Foundation. W tych trzech przedsiębiorstwach postan</w:t>
      </w:r>
      <w:r>
        <w:t>o</w:t>
      </w:r>
      <w:r>
        <w:t>wiono, że menedżerowie IT w dużych firmach i organiz</w:t>
      </w:r>
      <w:r>
        <w:t>a</w:t>
      </w:r>
      <w:r>
        <w:t xml:space="preserve">cjach rządowych w całej Europie rozpoczną wdrażanie standardu OCP na dużą skalę. Standard ten tworzy podstawę pracy dla wielu specjalistów w zakresie </w:t>
      </w:r>
      <w:proofErr w:type="spellStart"/>
      <w:r>
        <w:t>hyperscale</w:t>
      </w:r>
      <w:proofErr w:type="spellEnd"/>
      <w:r>
        <w:t>. Korzyści, jakie wynikają z wdrożenia standardu OCP w centrach danych, to m.in. oszczę</w:t>
      </w:r>
      <w:r>
        <w:t>d</w:t>
      </w:r>
      <w:r>
        <w:t xml:space="preserve">ność pieniędzy, niższe zużycie energii i większa elastyczność. </w:t>
      </w:r>
    </w:p>
    <w:p w:rsidR="00B83A96" w:rsidRDefault="00B83A96" w:rsidP="00B83A96">
      <w:pPr>
        <w:pStyle w:val="PIFlietext"/>
      </w:pPr>
      <w:proofErr w:type="spellStart"/>
      <w:r>
        <w:t>European</w:t>
      </w:r>
      <w:proofErr w:type="spellEnd"/>
      <w:r>
        <w:t xml:space="preserve"> OCP </w:t>
      </w:r>
      <w:proofErr w:type="spellStart"/>
      <w:r>
        <w:t>Experience</w:t>
      </w:r>
      <w:proofErr w:type="spellEnd"/>
      <w:r>
        <w:t xml:space="preserve"> Center będzie można zwiedzić w ramach corocznego szczytu regionalnego OCP (RAI </w:t>
      </w:r>
      <w:proofErr w:type="spellStart"/>
      <w:r>
        <w:t>Exhibition</w:t>
      </w:r>
      <w:proofErr w:type="spellEnd"/>
      <w:r>
        <w:t xml:space="preserve"> and </w:t>
      </w:r>
      <w:proofErr w:type="spellStart"/>
      <w:r>
        <w:t>Convention</w:t>
      </w:r>
      <w:proofErr w:type="spellEnd"/>
      <w:r>
        <w:t xml:space="preserve"> Centre w Amste</w:t>
      </w:r>
      <w:r>
        <w:t>r</w:t>
      </w:r>
      <w:r>
        <w:t xml:space="preserve">damie, 26-27 września 2019 r.). </w:t>
      </w:r>
    </w:p>
    <w:p w:rsidR="00984ACD" w:rsidRPr="00984ACD" w:rsidRDefault="00B83A96" w:rsidP="00B83A96">
      <w:pPr>
        <w:pStyle w:val="PIFlietext"/>
      </w:pPr>
      <w:r>
        <w:t xml:space="preserve">Więcej informacji na temat OCP </w:t>
      </w:r>
      <w:proofErr w:type="spellStart"/>
      <w:r>
        <w:t>Summit</w:t>
      </w:r>
      <w:proofErr w:type="spellEnd"/>
      <w:r>
        <w:t xml:space="preserve"> znajduje się na stronie: </w:t>
      </w:r>
      <w:hyperlink r:id="rId8" w:history="1">
        <w:r w:rsidRPr="005562FA">
          <w:rPr>
            <w:rStyle w:val="Hipercze"/>
          </w:rPr>
          <w:t>https://www.opencompute.org/summit/regional-summit</w:t>
        </w:r>
      </w:hyperlink>
      <w:r>
        <w:t>.</w:t>
      </w:r>
      <w:r w:rsidR="00AB4DB3">
        <w:t xml:space="preserve"> </w:t>
      </w:r>
      <w:r w:rsidR="005D4D17">
        <w:t xml:space="preserve"> </w:t>
      </w:r>
      <w:r w:rsidR="00F83BB9">
        <w:t xml:space="preserve"> </w:t>
      </w:r>
      <w:r w:rsidR="00984ACD">
        <w:t xml:space="preserve">  </w:t>
      </w:r>
    </w:p>
    <w:p w:rsidR="0096378C" w:rsidRDefault="003E4D67" w:rsidP="0096378C">
      <w:pPr>
        <w:spacing w:after="240" w:line="312" w:lineRule="auto"/>
        <w:ind w:right="34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2FC0">
        <w:rPr>
          <w:rFonts w:ascii="Arial" w:hAnsi="Arial" w:cs="Arial"/>
        </w:rPr>
        <w:t>(</w:t>
      </w:r>
      <w:r w:rsidR="00B83A96">
        <w:rPr>
          <w:rFonts w:ascii="Arial" w:hAnsi="Arial" w:cs="Arial"/>
        </w:rPr>
        <w:t>2.440</w:t>
      </w:r>
      <w:r w:rsidR="0096378C" w:rsidRPr="0096378C">
        <w:rPr>
          <w:rFonts w:ascii="Arial" w:hAnsi="Arial" w:cs="Arial"/>
        </w:rPr>
        <w:t xml:space="preserve"> znaków)</w:t>
      </w:r>
    </w:p>
    <w:p w:rsidR="007D0661" w:rsidRDefault="007D06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378C" w:rsidRDefault="0096378C" w:rsidP="0096378C">
      <w:pPr>
        <w:spacing w:after="240" w:line="312" w:lineRule="auto"/>
        <w:ind w:right="3493"/>
        <w:rPr>
          <w:rFonts w:ascii="Wingdings" w:hAnsi="Wingdings"/>
        </w:rPr>
      </w:pPr>
      <w:r>
        <w:rPr>
          <w:rFonts w:ascii="Wingdings" w:hAnsi="Wingdings"/>
        </w:rPr>
        <w:lastRenderedPageBreak/>
        <w:t></w:t>
      </w:r>
    </w:p>
    <w:p w:rsidR="0096378C" w:rsidRPr="0096378C" w:rsidRDefault="0096378C" w:rsidP="0096378C">
      <w:pPr>
        <w:pStyle w:val="PIAbspann"/>
        <w:rPr>
          <w:b/>
          <w:bCs/>
        </w:rPr>
      </w:pPr>
      <w:r>
        <w:rPr>
          <w:b/>
        </w:rPr>
        <w:t>Materiał zdjęciowy</w:t>
      </w:r>
    </w:p>
    <w:p w:rsidR="00F83BB9" w:rsidRPr="00F83BB9" w:rsidRDefault="00B83A96" w:rsidP="00F83BB9">
      <w:pPr>
        <w:spacing w:after="240" w:line="312" w:lineRule="auto"/>
        <w:ind w:right="3493"/>
        <w:rPr>
          <w:rFonts w:ascii="Arial" w:hAnsi="Arial"/>
          <w:sz w:val="18"/>
        </w:rPr>
      </w:pPr>
      <w:r w:rsidRPr="00B83A96">
        <w:rPr>
          <w:rFonts w:ascii="Arial" w:hAnsi="Arial"/>
          <w:sz w:val="18"/>
        </w:rPr>
        <w:t xml:space="preserve">Zdjęcie 1 (fri192023600): W firmach </w:t>
      </w:r>
      <w:proofErr w:type="spellStart"/>
      <w:r w:rsidRPr="00B83A96">
        <w:rPr>
          <w:rFonts w:ascii="Arial" w:hAnsi="Arial"/>
          <w:sz w:val="18"/>
        </w:rPr>
        <w:t>Circle</w:t>
      </w:r>
      <w:proofErr w:type="spellEnd"/>
      <w:r w:rsidRPr="00B83A96">
        <w:rPr>
          <w:rFonts w:ascii="Arial" w:hAnsi="Arial"/>
          <w:sz w:val="18"/>
        </w:rPr>
        <w:t xml:space="preserve"> B i </w:t>
      </w:r>
      <w:proofErr w:type="spellStart"/>
      <w:r w:rsidRPr="00B83A96">
        <w:rPr>
          <w:rFonts w:ascii="Arial" w:hAnsi="Arial"/>
          <w:sz w:val="18"/>
        </w:rPr>
        <w:t>Rittal</w:t>
      </w:r>
      <w:proofErr w:type="spellEnd"/>
      <w:r w:rsidRPr="00B83A96">
        <w:rPr>
          <w:rFonts w:ascii="Arial" w:hAnsi="Arial"/>
          <w:sz w:val="18"/>
        </w:rPr>
        <w:t xml:space="preserve"> podjęto decyzję o przeniesieniu </w:t>
      </w:r>
      <w:proofErr w:type="spellStart"/>
      <w:r w:rsidRPr="00B83A96">
        <w:rPr>
          <w:rFonts w:ascii="Arial" w:hAnsi="Arial"/>
          <w:sz w:val="18"/>
        </w:rPr>
        <w:t>European</w:t>
      </w:r>
      <w:proofErr w:type="spellEnd"/>
      <w:r w:rsidRPr="00B83A96">
        <w:rPr>
          <w:rFonts w:ascii="Arial" w:hAnsi="Arial"/>
          <w:sz w:val="18"/>
        </w:rPr>
        <w:t xml:space="preserve"> Open </w:t>
      </w:r>
      <w:proofErr w:type="spellStart"/>
      <w:r w:rsidRPr="00B83A96">
        <w:rPr>
          <w:rFonts w:ascii="Arial" w:hAnsi="Arial"/>
          <w:sz w:val="18"/>
        </w:rPr>
        <w:t>Compute</w:t>
      </w:r>
      <w:proofErr w:type="spellEnd"/>
      <w:r w:rsidRPr="00B83A96">
        <w:rPr>
          <w:rFonts w:ascii="Arial" w:hAnsi="Arial"/>
          <w:sz w:val="18"/>
        </w:rPr>
        <w:t xml:space="preserve"> Project (OCP) </w:t>
      </w:r>
      <w:proofErr w:type="spellStart"/>
      <w:r w:rsidRPr="00B83A96">
        <w:rPr>
          <w:rFonts w:ascii="Arial" w:hAnsi="Arial"/>
          <w:sz w:val="18"/>
        </w:rPr>
        <w:t>Experience</w:t>
      </w:r>
      <w:proofErr w:type="spellEnd"/>
      <w:r w:rsidRPr="00B83A96">
        <w:rPr>
          <w:rFonts w:ascii="Arial" w:hAnsi="Arial"/>
          <w:sz w:val="18"/>
        </w:rPr>
        <w:t xml:space="preserve"> Center do centrum danych </w:t>
      </w:r>
      <w:proofErr w:type="spellStart"/>
      <w:r w:rsidRPr="00B83A96">
        <w:rPr>
          <w:rFonts w:ascii="Arial" w:hAnsi="Arial"/>
          <w:sz w:val="18"/>
        </w:rPr>
        <w:t>maincubes</w:t>
      </w:r>
      <w:proofErr w:type="spellEnd"/>
      <w:r w:rsidRPr="00B83A96">
        <w:rPr>
          <w:rFonts w:ascii="Arial" w:hAnsi="Arial"/>
          <w:sz w:val="18"/>
        </w:rPr>
        <w:t xml:space="preserve"> AMS01, które znajduje się w pobliżu amsterdamskiego lotniska </w:t>
      </w:r>
      <w:proofErr w:type="spellStart"/>
      <w:r w:rsidRPr="00B83A96">
        <w:rPr>
          <w:rFonts w:ascii="Arial" w:hAnsi="Arial"/>
          <w:sz w:val="18"/>
        </w:rPr>
        <w:t>Schiphol</w:t>
      </w:r>
      <w:proofErr w:type="spellEnd"/>
      <w:r w:rsidRPr="00B83A96">
        <w:rPr>
          <w:rFonts w:ascii="Arial" w:hAnsi="Arial"/>
          <w:sz w:val="18"/>
        </w:rPr>
        <w:t xml:space="preserve"> International. Wcześniej OCP </w:t>
      </w:r>
      <w:proofErr w:type="spellStart"/>
      <w:r w:rsidRPr="00B83A96">
        <w:rPr>
          <w:rFonts w:ascii="Arial" w:hAnsi="Arial"/>
          <w:sz w:val="18"/>
        </w:rPr>
        <w:t>Experience</w:t>
      </w:r>
      <w:proofErr w:type="spellEnd"/>
      <w:r w:rsidRPr="00B83A96">
        <w:rPr>
          <w:rFonts w:ascii="Arial" w:hAnsi="Arial"/>
          <w:sz w:val="18"/>
        </w:rPr>
        <w:t xml:space="preserve"> Center było zlokalizowane w Switch Datacenter AMS1 w Amsterdamie.</w:t>
      </w:r>
    </w:p>
    <w:p w:rsidR="0096378C" w:rsidRPr="0096378C" w:rsidRDefault="0096378C" w:rsidP="0096378C">
      <w:pPr>
        <w:spacing w:after="240" w:line="312" w:lineRule="auto"/>
        <w:ind w:right="3493"/>
        <w:rPr>
          <w:rFonts w:ascii="Arial" w:hAnsi="Arial" w:cs="Arial"/>
          <w:sz w:val="18"/>
        </w:rPr>
      </w:pPr>
      <w:r w:rsidRPr="0096378C">
        <w:rPr>
          <w:rFonts w:ascii="Arial" w:hAnsi="Arial" w:cs="Arial"/>
          <w:sz w:val="18"/>
        </w:rPr>
        <w:t xml:space="preserve">Przedruk zwolniony z honorarium. Jako źródło prosimy podawać </w:t>
      </w:r>
      <w:proofErr w:type="spellStart"/>
      <w:r w:rsidRPr="0096378C">
        <w:rPr>
          <w:rFonts w:ascii="Arial" w:hAnsi="Arial" w:cs="Arial"/>
          <w:sz w:val="18"/>
        </w:rPr>
        <w:t>Rittal</w:t>
      </w:r>
      <w:proofErr w:type="spellEnd"/>
      <w:r w:rsidRPr="0096378C">
        <w:rPr>
          <w:rFonts w:ascii="Arial" w:hAnsi="Arial" w:cs="Arial"/>
          <w:sz w:val="18"/>
        </w:rPr>
        <w:t xml:space="preserve"> Sp. z o.o.  </w:t>
      </w:r>
    </w:p>
    <w:p w:rsidR="0096378C" w:rsidRPr="0096378C" w:rsidRDefault="0096378C" w:rsidP="0096378C">
      <w:pPr>
        <w:spacing w:after="240" w:line="312" w:lineRule="auto"/>
        <w:ind w:right="3493"/>
        <w:rPr>
          <w:rFonts w:ascii="Arial" w:hAnsi="Arial" w:cs="Arial"/>
          <w:b/>
          <w:sz w:val="18"/>
        </w:rPr>
      </w:pPr>
      <w:r w:rsidRPr="0096378C">
        <w:rPr>
          <w:rFonts w:ascii="Arial" w:hAnsi="Arial" w:cs="Arial"/>
          <w:b/>
          <w:sz w:val="18"/>
        </w:rPr>
        <w:t xml:space="preserve">O firmie </w:t>
      </w:r>
      <w:proofErr w:type="spellStart"/>
      <w:r w:rsidRPr="0096378C">
        <w:rPr>
          <w:rFonts w:ascii="Arial" w:hAnsi="Arial" w:cs="Arial"/>
          <w:b/>
          <w:sz w:val="18"/>
        </w:rPr>
        <w:t>Rittal</w:t>
      </w:r>
      <w:proofErr w:type="spellEnd"/>
    </w:p>
    <w:p w:rsidR="00984ACD" w:rsidRPr="00984ACD" w:rsidRDefault="00984ACD" w:rsidP="00984ACD">
      <w:pPr>
        <w:spacing w:after="240" w:line="312" w:lineRule="auto"/>
        <w:ind w:right="3493"/>
        <w:rPr>
          <w:rFonts w:ascii="Arial" w:hAnsi="Arial" w:cs="Arial"/>
          <w:sz w:val="18"/>
        </w:rPr>
      </w:pPr>
      <w:r w:rsidRPr="00984ACD">
        <w:rPr>
          <w:rFonts w:ascii="Arial" w:hAnsi="Arial" w:cs="Arial"/>
          <w:sz w:val="18"/>
        </w:rPr>
        <w:t xml:space="preserve">Firma </w:t>
      </w: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z siedzibą w </w:t>
      </w:r>
      <w:proofErr w:type="spellStart"/>
      <w:r w:rsidRPr="00984ACD">
        <w:rPr>
          <w:rFonts w:ascii="Arial" w:hAnsi="Arial" w:cs="Arial"/>
          <w:sz w:val="18"/>
        </w:rPr>
        <w:t>Herborn</w:t>
      </w:r>
      <w:proofErr w:type="spellEnd"/>
      <w:r w:rsidRPr="00984ACD">
        <w:rPr>
          <w:rFonts w:ascii="Arial" w:hAnsi="Arial" w:cs="Arial"/>
          <w:sz w:val="18"/>
        </w:rPr>
        <w:t xml:space="preserve"> w Hesji to wiodący światowy dostawca systemowy szaf sterowniczych, systemów rozdziału prądu, klimatyzacji, infrastruktury IT oraz oprogramowania i serwisu. Rozwiązania systemowe </w:t>
      </w: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można znaleźć w ponad 90 proce</w:t>
      </w:r>
      <w:r w:rsidRPr="00984ACD">
        <w:rPr>
          <w:rFonts w:ascii="Arial" w:hAnsi="Arial" w:cs="Arial"/>
          <w:sz w:val="18"/>
        </w:rPr>
        <w:t>n</w:t>
      </w:r>
      <w:r w:rsidRPr="00984ACD">
        <w:rPr>
          <w:rFonts w:ascii="Arial" w:hAnsi="Arial" w:cs="Arial"/>
          <w:sz w:val="18"/>
        </w:rPr>
        <w:t>tach wszystkich branż na całym świecie.</w:t>
      </w:r>
    </w:p>
    <w:p w:rsidR="00984ACD" w:rsidRPr="00984ACD" w:rsidRDefault="00984ACD" w:rsidP="00984ACD">
      <w:pPr>
        <w:spacing w:after="240" w:line="312" w:lineRule="auto"/>
        <w:ind w:right="3493"/>
        <w:rPr>
          <w:rFonts w:ascii="Arial" w:hAnsi="Arial" w:cs="Arial"/>
          <w:b/>
          <w:sz w:val="18"/>
        </w:rPr>
      </w:pPr>
      <w:r w:rsidRPr="00984ACD">
        <w:rPr>
          <w:rFonts w:ascii="Arial" w:hAnsi="Arial" w:cs="Arial"/>
          <w:b/>
          <w:sz w:val="18"/>
        </w:rPr>
        <w:t xml:space="preserve">Dostawca innowacyjnych rozwiązań IT – od Edge po </w:t>
      </w:r>
      <w:proofErr w:type="spellStart"/>
      <w:r w:rsidRPr="00984ACD">
        <w:rPr>
          <w:rFonts w:ascii="Arial" w:hAnsi="Arial" w:cs="Arial"/>
          <w:b/>
          <w:sz w:val="18"/>
        </w:rPr>
        <w:t>Hyperscale</w:t>
      </w:r>
      <w:proofErr w:type="spellEnd"/>
      <w:r w:rsidRPr="00984ACD">
        <w:rPr>
          <w:rFonts w:ascii="Arial" w:hAnsi="Arial" w:cs="Arial"/>
          <w:b/>
          <w:sz w:val="18"/>
        </w:rPr>
        <w:t xml:space="preserve"> Computing</w:t>
      </w:r>
    </w:p>
    <w:p w:rsidR="00984ACD" w:rsidRPr="00984ACD" w:rsidRDefault="00984ACD" w:rsidP="00984ACD">
      <w:pPr>
        <w:spacing w:after="240" w:line="312" w:lineRule="auto"/>
        <w:ind w:right="3493"/>
        <w:rPr>
          <w:rFonts w:ascii="Arial" w:hAnsi="Arial" w:cs="Arial"/>
          <w:sz w:val="18"/>
        </w:rPr>
      </w:pPr>
      <w:r w:rsidRPr="00984ACD">
        <w:rPr>
          <w:rFonts w:ascii="Arial" w:hAnsi="Arial" w:cs="Arial"/>
          <w:sz w:val="18"/>
        </w:rPr>
        <w:t>Wspólnie z partnerami „</w:t>
      </w: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Ecosystem</w:t>
      </w:r>
      <w:proofErr w:type="spellEnd"/>
      <w:r w:rsidRPr="00984ACD">
        <w:rPr>
          <w:rFonts w:ascii="Arial" w:hAnsi="Arial" w:cs="Arial"/>
          <w:sz w:val="18"/>
        </w:rPr>
        <w:t xml:space="preserve"> IT” dostarcza komponenty, systemy, a także rozwiązania spełniające wszelkie wymagania skalowalnego i ekonomicznego środowiska IT dla scenariuszy Edge oraz </w:t>
      </w:r>
      <w:proofErr w:type="spellStart"/>
      <w:r w:rsidRPr="00984ACD">
        <w:rPr>
          <w:rFonts w:ascii="Arial" w:hAnsi="Arial" w:cs="Arial"/>
          <w:sz w:val="18"/>
        </w:rPr>
        <w:t>Cloud</w:t>
      </w:r>
      <w:proofErr w:type="spellEnd"/>
      <w:r w:rsidRPr="00984ACD">
        <w:rPr>
          <w:rFonts w:ascii="Arial" w:hAnsi="Arial" w:cs="Arial"/>
          <w:sz w:val="18"/>
        </w:rPr>
        <w:t xml:space="preserve">. Oferta obejmuje produkty od lokalnych data </w:t>
      </w:r>
      <w:proofErr w:type="spellStart"/>
      <w:r w:rsidRPr="00984ACD">
        <w:rPr>
          <w:rFonts w:ascii="Arial" w:hAnsi="Arial" w:cs="Arial"/>
          <w:sz w:val="18"/>
        </w:rPr>
        <w:t>center</w:t>
      </w:r>
      <w:proofErr w:type="spellEnd"/>
      <w:r w:rsidRPr="00984ACD">
        <w:rPr>
          <w:rFonts w:ascii="Arial" w:hAnsi="Arial" w:cs="Arial"/>
          <w:sz w:val="18"/>
        </w:rPr>
        <w:t>, przez pojedyncze szafy i gotowe centrum danych w kontenerze, aż po Datacenter as a Service (</w:t>
      </w:r>
      <w:proofErr w:type="spellStart"/>
      <w:r w:rsidRPr="00984ACD">
        <w:rPr>
          <w:rFonts w:ascii="Arial" w:hAnsi="Arial" w:cs="Arial"/>
          <w:sz w:val="18"/>
        </w:rPr>
        <w:t>DCaaS</w:t>
      </w:r>
      <w:proofErr w:type="spellEnd"/>
      <w:r w:rsidRPr="00984ACD">
        <w:rPr>
          <w:rFonts w:ascii="Arial" w:hAnsi="Arial" w:cs="Arial"/>
          <w:sz w:val="18"/>
        </w:rPr>
        <w:t xml:space="preserve">). Platformy </w:t>
      </w:r>
      <w:proofErr w:type="spellStart"/>
      <w:r w:rsidRPr="00984ACD">
        <w:rPr>
          <w:rFonts w:ascii="Arial" w:hAnsi="Arial" w:cs="Arial"/>
          <w:sz w:val="18"/>
        </w:rPr>
        <w:t>Private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Cloud</w:t>
      </w:r>
      <w:proofErr w:type="spellEnd"/>
      <w:r w:rsidRPr="00984ACD">
        <w:rPr>
          <w:rFonts w:ascii="Arial" w:hAnsi="Arial" w:cs="Arial"/>
          <w:sz w:val="18"/>
        </w:rPr>
        <w:t xml:space="preserve"> i </w:t>
      </w:r>
      <w:proofErr w:type="spellStart"/>
      <w:r w:rsidRPr="00984ACD">
        <w:rPr>
          <w:rFonts w:ascii="Arial" w:hAnsi="Arial" w:cs="Arial"/>
          <w:sz w:val="18"/>
        </w:rPr>
        <w:t>Managed</w:t>
      </w:r>
      <w:proofErr w:type="spellEnd"/>
      <w:r w:rsidRPr="00984ACD">
        <w:rPr>
          <w:rFonts w:ascii="Arial" w:hAnsi="Arial" w:cs="Arial"/>
          <w:sz w:val="18"/>
        </w:rPr>
        <w:t xml:space="preserve"> Services pochodzą od </w:t>
      </w:r>
      <w:proofErr w:type="spellStart"/>
      <w:r w:rsidRPr="00984ACD">
        <w:rPr>
          <w:rFonts w:ascii="Arial" w:hAnsi="Arial" w:cs="Arial"/>
          <w:sz w:val="18"/>
        </w:rPr>
        <w:t>iNNOVO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Cloud</w:t>
      </w:r>
      <w:proofErr w:type="spellEnd"/>
      <w:r w:rsidRPr="00984ACD">
        <w:rPr>
          <w:rFonts w:ascii="Arial" w:hAnsi="Arial" w:cs="Arial"/>
          <w:sz w:val="18"/>
        </w:rPr>
        <w:t xml:space="preserve">. Poza tym </w:t>
      </w: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oferuje wszystkie elementy z jednego źródła – od planowania, przez implementację, aż po użytkowanie i optymalizację infrastruktury IT – dla całego cyklu życia centrów danych.</w:t>
      </w:r>
    </w:p>
    <w:p w:rsidR="00984ACD" w:rsidRPr="00984ACD" w:rsidRDefault="00984ACD" w:rsidP="00984ACD">
      <w:pPr>
        <w:spacing w:after="240" w:line="312" w:lineRule="auto"/>
        <w:ind w:right="3493"/>
        <w:rPr>
          <w:rFonts w:ascii="Arial" w:hAnsi="Arial" w:cs="Arial"/>
          <w:sz w:val="18"/>
        </w:rPr>
      </w:pP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Lefdal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Mine</w:t>
      </w:r>
      <w:proofErr w:type="spellEnd"/>
      <w:r w:rsidRPr="00984ACD">
        <w:rPr>
          <w:rFonts w:ascii="Arial" w:hAnsi="Arial" w:cs="Arial"/>
          <w:sz w:val="18"/>
        </w:rPr>
        <w:t xml:space="preserve"> Datacenter o powierzchni 120 000 m² i potencjalnej pojemności 200+ megawatów to jedyna w swoim rodzaju lokalizacja data </w:t>
      </w:r>
      <w:proofErr w:type="spellStart"/>
      <w:r w:rsidRPr="00984ACD">
        <w:rPr>
          <w:rFonts w:ascii="Arial" w:hAnsi="Arial" w:cs="Arial"/>
          <w:sz w:val="18"/>
        </w:rPr>
        <w:t>center</w:t>
      </w:r>
      <w:proofErr w:type="spellEnd"/>
      <w:r w:rsidRPr="00984ACD">
        <w:rPr>
          <w:rFonts w:ascii="Arial" w:hAnsi="Arial" w:cs="Arial"/>
          <w:sz w:val="18"/>
        </w:rPr>
        <w:t xml:space="preserve"> wyróżniająca się wysoką efektywnością, dbałością o środowisko naturalne i bezpieczeństwem. Położone nad norweskim fiordem centrum danych jest zasilane wyłącznie z wykorzystaniem energii odnawialnych z otoczenia.</w:t>
      </w:r>
    </w:p>
    <w:p w:rsidR="00984ACD" w:rsidRPr="00984ACD" w:rsidRDefault="00984ACD" w:rsidP="00984ACD">
      <w:pPr>
        <w:spacing w:after="240" w:line="312" w:lineRule="auto"/>
        <w:ind w:right="3493"/>
        <w:rPr>
          <w:rFonts w:ascii="Arial" w:hAnsi="Arial" w:cs="Arial"/>
          <w:sz w:val="18"/>
        </w:rPr>
      </w:pP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został założony w roku 1961 i jest największym przedsiębio</w:t>
      </w:r>
      <w:r w:rsidRPr="00984ACD">
        <w:rPr>
          <w:rFonts w:ascii="Arial" w:hAnsi="Arial" w:cs="Arial"/>
          <w:sz w:val="18"/>
        </w:rPr>
        <w:t>r</w:t>
      </w:r>
      <w:r w:rsidRPr="00984ACD">
        <w:rPr>
          <w:rFonts w:ascii="Arial" w:hAnsi="Arial" w:cs="Arial"/>
          <w:sz w:val="18"/>
        </w:rPr>
        <w:t xml:space="preserve">stwem prowadzonej przez właściciela </w:t>
      </w:r>
      <w:proofErr w:type="spellStart"/>
      <w:r w:rsidRPr="00984ACD">
        <w:rPr>
          <w:rFonts w:ascii="Arial" w:hAnsi="Arial" w:cs="Arial"/>
          <w:sz w:val="18"/>
        </w:rPr>
        <w:t>Friedhelm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Loh</w:t>
      </w:r>
      <w:proofErr w:type="spellEnd"/>
      <w:r w:rsidRPr="00984ACD">
        <w:rPr>
          <w:rFonts w:ascii="Arial" w:hAnsi="Arial" w:cs="Arial"/>
          <w:sz w:val="18"/>
        </w:rPr>
        <w:t xml:space="preserve"> </w:t>
      </w:r>
      <w:proofErr w:type="spellStart"/>
      <w:r w:rsidRPr="00984ACD">
        <w:rPr>
          <w:rFonts w:ascii="Arial" w:hAnsi="Arial" w:cs="Arial"/>
          <w:sz w:val="18"/>
        </w:rPr>
        <w:t>Group</w:t>
      </w:r>
      <w:proofErr w:type="spellEnd"/>
      <w:r w:rsidRPr="00984ACD">
        <w:rPr>
          <w:rFonts w:ascii="Arial" w:hAnsi="Arial" w:cs="Arial"/>
          <w:sz w:val="18"/>
        </w:rPr>
        <w:t xml:space="preserve">. Grupa jest obecna na całym świecie z 18 fabrykami i 80 międzynarodowymi </w:t>
      </w:r>
      <w:r w:rsidRPr="00984ACD">
        <w:rPr>
          <w:rFonts w:ascii="Arial" w:hAnsi="Arial" w:cs="Arial"/>
          <w:sz w:val="18"/>
        </w:rPr>
        <w:lastRenderedPageBreak/>
        <w:t>spółkami córkami. Cała grupa zatrudnia 11 500 pracowników, a jej obroty w 2017 roku wyniosły 2,5 miliarda euro.</w:t>
      </w:r>
    </w:p>
    <w:p w:rsidR="00984ACD" w:rsidRPr="00984ACD" w:rsidRDefault="00984ACD" w:rsidP="00984ACD">
      <w:pPr>
        <w:spacing w:after="240" w:line="312" w:lineRule="auto"/>
        <w:ind w:right="3493"/>
        <w:rPr>
          <w:rFonts w:ascii="Arial" w:hAnsi="Arial" w:cs="Arial"/>
          <w:sz w:val="18"/>
        </w:rPr>
      </w:pPr>
      <w:proofErr w:type="spellStart"/>
      <w:r w:rsidRPr="00984ACD">
        <w:rPr>
          <w:rFonts w:ascii="Arial" w:hAnsi="Arial" w:cs="Arial"/>
          <w:sz w:val="18"/>
        </w:rPr>
        <w:t>Rittal</w:t>
      </w:r>
      <w:proofErr w:type="spellEnd"/>
      <w:r w:rsidRPr="00984ACD">
        <w:rPr>
          <w:rFonts w:ascii="Arial" w:hAnsi="Arial" w:cs="Arial"/>
          <w:sz w:val="18"/>
        </w:rPr>
        <w:t xml:space="preserve"> Sp. </w:t>
      </w:r>
      <w:proofErr w:type="spellStart"/>
      <w:r w:rsidRPr="00984ACD">
        <w:rPr>
          <w:rFonts w:ascii="Arial" w:hAnsi="Arial" w:cs="Arial"/>
          <w:sz w:val="18"/>
        </w:rPr>
        <w:t>zo.o</w:t>
      </w:r>
      <w:proofErr w:type="spellEnd"/>
      <w:r w:rsidRPr="00984ACD">
        <w:rPr>
          <w:rFonts w:ascii="Arial" w:hAnsi="Arial" w:cs="Arial"/>
          <w:sz w:val="18"/>
        </w:rPr>
        <w:t>.  został założony w 1999 roku i obecnie jest p</w:t>
      </w:r>
      <w:r w:rsidRPr="00984ACD">
        <w:rPr>
          <w:rFonts w:ascii="Arial" w:hAnsi="Arial" w:cs="Arial"/>
          <w:sz w:val="18"/>
        </w:rPr>
        <w:t>o</w:t>
      </w:r>
      <w:r w:rsidRPr="00984ACD">
        <w:rPr>
          <w:rFonts w:ascii="Arial" w:hAnsi="Arial" w:cs="Arial"/>
          <w:sz w:val="18"/>
        </w:rPr>
        <w:t>wszechnie znaną oraz rozpoznawalną marką w Polsce, gwarantującą najlepszej jakości produkty, doradztwo techniczne, obsługę Klienta oraz serwis.</w:t>
      </w:r>
    </w:p>
    <w:p w:rsidR="00AF7A56" w:rsidRPr="00AF7A56" w:rsidRDefault="00984ACD" w:rsidP="00984ACD">
      <w:pPr>
        <w:spacing w:after="240" w:line="312" w:lineRule="auto"/>
        <w:ind w:right="3493"/>
        <w:rPr>
          <w:rFonts w:ascii="Arial" w:hAnsi="Arial" w:cs="Arial"/>
          <w:sz w:val="18"/>
        </w:rPr>
      </w:pPr>
      <w:r w:rsidRPr="00984ACD">
        <w:rPr>
          <w:rFonts w:ascii="Arial" w:hAnsi="Arial" w:cs="Arial"/>
          <w:sz w:val="18"/>
        </w:rPr>
        <w:t>Pozostałe informacje są dostępne na stronie www.rittal.de/it-solutions i www.friedhelm-loh-group.com.</w:t>
      </w:r>
    </w:p>
    <w:sectPr w:rsidR="00AF7A56" w:rsidRPr="00AF7A56" w:rsidSect="00DC21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538" w:right="1418" w:bottom="1134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7C" w:rsidRDefault="002E4C7C">
      <w:r>
        <w:separator/>
      </w:r>
    </w:p>
  </w:endnote>
  <w:endnote w:type="continuationSeparator" w:id="0">
    <w:p w:rsidR="002E4C7C" w:rsidRDefault="002E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B2" w:rsidRPr="008C6F46" w:rsidRDefault="000F11EA" w:rsidP="008C6F46">
    <w:pPr>
      <w:pStyle w:val="Stopka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902335</wp:posOffset>
          </wp:positionH>
          <wp:positionV relativeFrom="page">
            <wp:posOffset>10287000</wp:posOffset>
          </wp:positionV>
          <wp:extent cx="1767840" cy="93345"/>
          <wp:effectExtent l="0" t="0" r="3810" b="1905"/>
          <wp:wrapNone/>
          <wp:docPr id="9" name="Bild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erstrony"/>
        <w:rFonts w:ascii="Arial" w:hAnsi="Arial"/>
        <w:sz w:val="22"/>
      </w:rPr>
      <w:t xml:space="preserve">Strona </w:t>
    </w:r>
    <w:r w:rsidR="006612B2" w:rsidRPr="008C6F46">
      <w:rPr>
        <w:rStyle w:val="Numerstrony"/>
        <w:rFonts w:ascii="Arial" w:hAnsi="Arial" w:cs="Arial"/>
        <w:sz w:val="22"/>
        <w:szCs w:val="22"/>
      </w:rPr>
      <w:fldChar w:fldCharType="begin"/>
    </w:r>
    <w:r w:rsidR="006612B2" w:rsidRPr="008C6F46">
      <w:rPr>
        <w:rStyle w:val="Numerstrony"/>
        <w:rFonts w:ascii="Arial" w:hAnsi="Arial" w:cs="Arial"/>
        <w:sz w:val="22"/>
        <w:szCs w:val="22"/>
      </w:rPr>
      <w:instrText xml:space="preserve"> PAGE </w:instrText>
    </w:r>
    <w:r w:rsidR="006612B2" w:rsidRPr="008C6F46">
      <w:rPr>
        <w:rStyle w:val="Numerstrony"/>
        <w:rFonts w:ascii="Arial" w:hAnsi="Arial" w:cs="Arial"/>
        <w:sz w:val="22"/>
        <w:szCs w:val="22"/>
      </w:rPr>
      <w:fldChar w:fldCharType="separate"/>
    </w:r>
    <w:r w:rsidR="00FB086D">
      <w:rPr>
        <w:rStyle w:val="Numerstrony"/>
        <w:rFonts w:ascii="Arial" w:hAnsi="Arial" w:cs="Arial"/>
        <w:noProof/>
        <w:sz w:val="22"/>
        <w:szCs w:val="22"/>
      </w:rPr>
      <w:t>2</w:t>
    </w:r>
    <w:r w:rsidR="006612B2" w:rsidRPr="008C6F46">
      <w:rPr>
        <w:rStyle w:val="Numerstrony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B2" w:rsidRDefault="000F11EA">
    <w:pPr>
      <w:pStyle w:val="Stopka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895985</wp:posOffset>
          </wp:positionH>
          <wp:positionV relativeFrom="page">
            <wp:posOffset>10274300</wp:posOffset>
          </wp:positionV>
          <wp:extent cx="1767840" cy="93345"/>
          <wp:effectExtent l="0" t="0" r="3810" b="1905"/>
          <wp:wrapNone/>
          <wp:docPr id="8" name="Bild 8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7C" w:rsidRDefault="002E4C7C">
      <w:r>
        <w:separator/>
      </w:r>
    </w:p>
  </w:footnote>
  <w:footnote w:type="continuationSeparator" w:id="0">
    <w:p w:rsidR="002E4C7C" w:rsidRDefault="002E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B2" w:rsidRDefault="006612B2">
    <w:pPr>
      <w:pStyle w:val="Nagwek"/>
      <w:spacing w:after="60"/>
      <w:rPr>
        <w:rFonts w:ascii="Arial" w:hAnsi="Arial" w:cs="Arial"/>
        <w:b/>
        <w:bCs/>
        <w:i/>
        <w:iCs/>
        <w:spacing w:val="40"/>
        <w:sz w:val="32"/>
      </w:rPr>
    </w:pPr>
    <w:r>
      <w:rPr>
        <w:rFonts w:ascii="Arial" w:hAnsi="Arial"/>
        <w:b/>
        <w:i/>
        <w:spacing w:val="40"/>
        <w:sz w:val="32"/>
      </w:rPr>
      <w:t>Informacja prasowa</w:t>
    </w:r>
  </w:p>
  <w:p w:rsidR="006612B2" w:rsidRPr="002D458D" w:rsidRDefault="006612B2">
    <w:pPr>
      <w:pStyle w:val="Nagwek"/>
    </w:pPr>
    <w:proofErr w:type="spellStart"/>
    <w:r>
      <w:rPr>
        <w:rFonts w:ascii="Arial" w:hAnsi="Arial"/>
        <w:sz w:val="22"/>
      </w:rPr>
      <w:t>Rittal</w:t>
    </w:r>
    <w:proofErr w:type="spellEnd"/>
    <w:r>
      <w:rPr>
        <w:rFonts w:ascii="Arial" w:hAnsi="Arial"/>
        <w:sz w:val="22"/>
      </w:rPr>
      <w:t xml:space="preserve"> Sp. z o.o.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B2" w:rsidRDefault="000F11EA">
    <w:pPr>
      <w:pStyle w:val="Nagwek"/>
      <w:spacing w:after="60"/>
      <w:rPr>
        <w:rFonts w:ascii="Arial" w:hAnsi="Arial" w:cs="Arial"/>
        <w:b/>
        <w:bCs/>
        <w:i/>
        <w:iCs/>
        <w:spacing w:val="40"/>
        <w:sz w:val="32"/>
      </w:rPr>
    </w:pPr>
    <w:r>
      <w:rPr>
        <w:rFonts w:ascii="Arial" w:hAnsi="Arial" w:cs="Arial"/>
        <w:b/>
        <w:bCs/>
        <w:i/>
        <w:iCs/>
        <w:noProof/>
        <w:spacing w:val="40"/>
        <w:sz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5157470</wp:posOffset>
              </wp:positionH>
              <wp:positionV relativeFrom="paragraph">
                <wp:posOffset>-19685</wp:posOffset>
              </wp:positionV>
              <wp:extent cx="1097280" cy="1386840"/>
              <wp:effectExtent l="4445" t="0" r="317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2B2" w:rsidRDefault="000F11EA">
                          <w:pPr>
                            <w:ind w:right="-30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14400" cy="1276350"/>
                                <wp:effectExtent l="0" t="0" r="0" b="0"/>
                                <wp:docPr id="2" name="Bild 1" descr="RITTAL_4c_w_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TTAL_4c_w_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06.1pt;margin-top:-1.55pt;width:86.4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" stroked="f">
              <v:textbox>
                <w:txbxContent>
                  <w:p w:rsidR="006612B2" w:rsidRDefault="000F11EA">
                    <w:pPr>
                      <w:ind w:right="-30"/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914400" cy="1276350"/>
                          <wp:effectExtent l="0" t="0" r="0" b="0"/>
                          <wp:docPr id="2" name="Bild 1" descr="RITTAL_4c_w_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TTAL_4c_w_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i/>
        <w:spacing w:val="40"/>
        <w:sz w:val="32"/>
      </w:rPr>
      <w:t>Informacja prasowa</w:t>
    </w:r>
  </w:p>
  <w:p w:rsidR="006612B2" w:rsidRPr="006863DC" w:rsidRDefault="006612B2">
    <w:pPr>
      <w:pStyle w:val="Nagwek"/>
    </w:pPr>
    <w:proofErr w:type="spellStart"/>
    <w:r>
      <w:rPr>
        <w:rFonts w:ascii="Arial" w:hAnsi="Arial"/>
        <w:sz w:val="22"/>
      </w:rPr>
      <w:t>Rittal</w:t>
    </w:r>
    <w:proofErr w:type="spellEnd"/>
    <w:r>
      <w:rPr>
        <w:rFonts w:ascii="Arial" w:hAnsi="Arial"/>
        <w:sz w:val="22"/>
      </w:rPr>
      <w:t xml:space="preserve">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C4"/>
    <w:multiLevelType w:val="hybridMultilevel"/>
    <w:tmpl w:val="71AE7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92"/>
    <w:rsid w:val="0001004E"/>
    <w:rsid w:val="0001246A"/>
    <w:rsid w:val="00013595"/>
    <w:rsid w:val="00030334"/>
    <w:rsid w:val="000362F4"/>
    <w:rsid w:val="000471C2"/>
    <w:rsid w:val="00056073"/>
    <w:rsid w:val="000626AE"/>
    <w:rsid w:val="00072152"/>
    <w:rsid w:val="00092F24"/>
    <w:rsid w:val="000943A7"/>
    <w:rsid w:val="000A756C"/>
    <w:rsid w:val="000E5B97"/>
    <w:rsid w:val="000F06D7"/>
    <w:rsid w:val="000F11EA"/>
    <w:rsid w:val="00103FAB"/>
    <w:rsid w:val="001334D1"/>
    <w:rsid w:val="00134BAE"/>
    <w:rsid w:val="00140F18"/>
    <w:rsid w:val="0014203B"/>
    <w:rsid w:val="001451D5"/>
    <w:rsid w:val="00152318"/>
    <w:rsid w:val="00196809"/>
    <w:rsid w:val="001B584D"/>
    <w:rsid w:val="001B5998"/>
    <w:rsid w:val="001D7769"/>
    <w:rsid w:val="001E310E"/>
    <w:rsid w:val="001E375C"/>
    <w:rsid w:val="001E71C2"/>
    <w:rsid w:val="001F5CCD"/>
    <w:rsid w:val="00201792"/>
    <w:rsid w:val="00204E43"/>
    <w:rsid w:val="00210E0B"/>
    <w:rsid w:val="00236CA0"/>
    <w:rsid w:val="00242DC1"/>
    <w:rsid w:val="0024560C"/>
    <w:rsid w:val="00266F76"/>
    <w:rsid w:val="00272E28"/>
    <w:rsid w:val="002C0D06"/>
    <w:rsid w:val="002C1812"/>
    <w:rsid w:val="002C79C7"/>
    <w:rsid w:val="002D458D"/>
    <w:rsid w:val="002E4C7C"/>
    <w:rsid w:val="002E5D1D"/>
    <w:rsid w:val="003268BE"/>
    <w:rsid w:val="00333D0F"/>
    <w:rsid w:val="003578F2"/>
    <w:rsid w:val="00373B8C"/>
    <w:rsid w:val="003946F6"/>
    <w:rsid w:val="003C09DF"/>
    <w:rsid w:val="003C4AB2"/>
    <w:rsid w:val="003D30BC"/>
    <w:rsid w:val="003E0826"/>
    <w:rsid w:val="003E4D67"/>
    <w:rsid w:val="003F4E32"/>
    <w:rsid w:val="003F5D6A"/>
    <w:rsid w:val="0040418D"/>
    <w:rsid w:val="00404DF4"/>
    <w:rsid w:val="00405BEC"/>
    <w:rsid w:val="0042242C"/>
    <w:rsid w:val="00424251"/>
    <w:rsid w:val="00427B09"/>
    <w:rsid w:val="00464071"/>
    <w:rsid w:val="00472FC0"/>
    <w:rsid w:val="004B51AE"/>
    <w:rsid w:val="004B7991"/>
    <w:rsid w:val="004C0922"/>
    <w:rsid w:val="004F3DE3"/>
    <w:rsid w:val="004F6AB4"/>
    <w:rsid w:val="005062E6"/>
    <w:rsid w:val="0051734A"/>
    <w:rsid w:val="00530D72"/>
    <w:rsid w:val="00545E61"/>
    <w:rsid w:val="00554D42"/>
    <w:rsid w:val="00556053"/>
    <w:rsid w:val="00584FA9"/>
    <w:rsid w:val="005A2A6E"/>
    <w:rsid w:val="005C6076"/>
    <w:rsid w:val="005D4D17"/>
    <w:rsid w:val="005F0C8A"/>
    <w:rsid w:val="006076E8"/>
    <w:rsid w:val="00615EC7"/>
    <w:rsid w:val="00617DF7"/>
    <w:rsid w:val="00617EAC"/>
    <w:rsid w:val="0064078E"/>
    <w:rsid w:val="00640B69"/>
    <w:rsid w:val="00641BBC"/>
    <w:rsid w:val="0065178B"/>
    <w:rsid w:val="00655936"/>
    <w:rsid w:val="006612B2"/>
    <w:rsid w:val="006621FE"/>
    <w:rsid w:val="006863DC"/>
    <w:rsid w:val="006A2E1B"/>
    <w:rsid w:val="006C2973"/>
    <w:rsid w:val="006C3F07"/>
    <w:rsid w:val="006D1867"/>
    <w:rsid w:val="006D44A6"/>
    <w:rsid w:val="006F38CB"/>
    <w:rsid w:val="006F64A6"/>
    <w:rsid w:val="00700141"/>
    <w:rsid w:val="00714517"/>
    <w:rsid w:val="007443B8"/>
    <w:rsid w:val="00761AF7"/>
    <w:rsid w:val="00773D7C"/>
    <w:rsid w:val="007850F6"/>
    <w:rsid w:val="00791A24"/>
    <w:rsid w:val="007A29DD"/>
    <w:rsid w:val="007A554B"/>
    <w:rsid w:val="007B45D7"/>
    <w:rsid w:val="007D0661"/>
    <w:rsid w:val="007E5BF3"/>
    <w:rsid w:val="007E6F63"/>
    <w:rsid w:val="00801428"/>
    <w:rsid w:val="00804FA4"/>
    <w:rsid w:val="008277E9"/>
    <w:rsid w:val="00831E7D"/>
    <w:rsid w:val="00833D8D"/>
    <w:rsid w:val="00836A2D"/>
    <w:rsid w:val="00871D92"/>
    <w:rsid w:val="008802E8"/>
    <w:rsid w:val="008A1155"/>
    <w:rsid w:val="008A2C2A"/>
    <w:rsid w:val="008B2D84"/>
    <w:rsid w:val="008C6F46"/>
    <w:rsid w:val="008E0B2F"/>
    <w:rsid w:val="008E2E60"/>
    <w:rsid w:val="00936930"/>
    <w:rsid w:val="00952C6D"/>
    <w:rsid w:val="00957837"/>
    <w:rsid w:val="0096169B"/>
    <w:rsid w:val="00962614"/>
    <w:rsid w:val="0096378C"/>
    <w:rsid w:val="009751DD"/>
    <w:rsid w:val="00984ACD"/>
    <w:rsid w:val="00992FFE"/>
    <w:rsid w:val="00993EA2"/>
    <w:rsid w:val="009B4A62"/>
    <w:rsid w:val="009C0F1E"/>
    <w:rsid w:val="009E0779"/>
    <w:rsid w:val="00A00ECE"/>
    <w:rsid w:val="00A459E0"/>
    <w:rsid w:val="00A85355"/>
    <w:rsid w:val="00AB4DB3"/>
    <w:rsid w:val="00AD50F2"/>
    <w:rsid w:val="00AF7A56"/>
    <w:rsid w:val="00B10BF3"/>
    <w:rsid w:val="00B11EB9"/>
    <w:rsid w:val="00B2697E"/>
    <w:rsid w:val="00B33C98"/>
    <w:rsid w:val="00B35500"/>
    <w:rsid w:val="00B35C47"/>
    <w:rsid w:val="00B35D28"/>
    <w:rsid w:val="00B53551"/>
    <w:rsid w:val="00B57201"/>
    <w:rsid w:val="00B572ED"/>
    <w:rsid w:val="00B61653"/>
    <w:rsid w:val="00B617E4"/>
    <w:rsid w:val="00B66C83"/>
    <w:rsid w:val="00B67765"/>
    <w:rsid w:val="00B802FD"/>
    <w:rsid w:val="00B81F44"/>
    <w:rsid w:val="00B83A96"/>
    <w:rsid w:val="00BB0B04"/>
    <w:rsid w:val="00BB4FFF"/>
    <w:rsid w:val="00BC5F44"/>
    <w:rsid w:val="00BC7D8D"/>
    <w:rsid w:val="00BD6756"/>
    <w:rsid w:val="00BE4AC5"/>
    <w:rsid w:val="00BF162F"/>
    <w:rsid w:val="00BF3F4C"/>
    <w:rsid w:val="00BF4C29"/>
    <w:rsid w:val="00C06346"/>
    <w:rsid w:val="00C0750D"/>
    <w:rsid w:val="00C222AE"/>
    <w:rsid w:val="00C329EE"/>
    <w:rsid w:val="00C453E9"/>
    <w:rsid w:val="00C460FE"/>
    <w:rsid w:val="00C47019"/>
    <w:rsid w:val="00C548F3"/>
    <w:rsid w:val="00C6007C"/>
    <w:rsid w:val="00C6131A"/>
    <w:rsid w:val="00C8333F"/>
    <w:rsid w:val="00C8787C"/>
    <w:rsid w:val="00CB01D2"/>
    <w:rsid w:val="00CB39BD"/>
    <w:rsid w:val="00CD520F"/>
    <w:rsid w:val="00CE38E8"/>
    <w:rsid w:val="00CF02BE"/>
    <w:rsid w:val="00CF274B"/>
    <w:rsid w:val="00D02C13"/>
    <w:rsid w:val="00D0424A"/>
    <w:rsid w:val="00D16851"/>
    <w:rsid w:val="00D27D43"/>
    <w:rsid w:val="00D41567"/>
    <w:rsid w:val="00D53EC4"/>
    <w:rsid w:val="00D607F6"/>
    <w:rsid w:val="00D72449"/>
    <w:rsid w:val="00D87A6E"/>
    <w:rsid w:val="00D906A8"/>
    <w:rsid w:val="00D91617"/>
    <w:rsid w:val="00DA2257"/>
    <w:rsid w:val="00DC217C"/>
    <w:rsid w:val="00DC411D"/>
    <w:rsid w:val="00DE50CE"/>
    <w:rsid w:val="00DF49D8"/>
    <w:rsid w:val="00E2008C"/>
    <w:rsid w:val="00E20A56"/>
    <w:rsid w:val="00E25FD7"/>
    <w:rsid w:val="00E3400D"/>
    <w:rsid w:val="00E40B60"/>
    <w:rsid w:val="00E525E3"/>
    <w:rsid w:val="00E731BF"/>
    <w:rsid w:val="00E74170"/>
    <w:rsid w:val="00E778B7"/>
    <w:rsid w:val="00E82686"/>
    <w:rsid w:val="00EB110F"/>
    <w:rsid w:val="00EC12CF"/>
    <w:rsid w:val="00ED2BB7"/>
    <w:rsid w:val="00EE30E0"/>
    <w:rsid w:val="00EE4D48"/>
    <w:rsid w:val="00F24C2C"/>
    <w:rsid w:val="00F26BC1"/>
    <w:rsid w:val="00F62768"/>
    <w:rsid w:val="00F7149A"/>
    <w:rsid w:val="00F72523"/>
    <w:rsid w:val="00F73C4B"/>
    <w:rsid w:val="00F83BB9"/>
    <w:rsid w:val="00FB086D"/>
    <w:rsid w:val="00FB1F78"/>
    <w:rsid w:val="00FC203A"/>
    <w:rsid w:val="00FD2A71"/>
    <w:rsid w:val="00FD3B78"/>
    <w:rsid w:val="00FE2466"/>
    <w:rsid w:val="00FE2D71"/>
    <w:rsid w:val="00FF15CA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Nagwek6">
    <w:name w:val="heading 6"/>
    <w:basedOn w:val="Normalny"/>
    <w:next w:val="Normalny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Tekstpodstawowywcity">
    <w:name w:val="Body Text Indent"/>
    <w:basedOn w:val="Normalny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Normalny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Tekstpodstawowy2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spacing w:after="180" w:line="312" w:lineRule="auto"/>
    </w:pPr>
    <w:rPr>
      <w:rFonts w:ascii="Arial" w:hAnsi="Arial" w:cs="Arial"/>
      <w:sz w:val="1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Nagwek8Znak">
    <w:name w:val="Nagłówek 8 Znak"/>
    <w:link w:val="Nagwek8"/>
    <w:rsid w:val="00700141"/>
    <w:rPr>
      <w:rFonts w:ascii="Arial" w:hAnsi="Arial" w:cs="Arial"/>
      <w:b/>
      <w:sz w:val="22"/>
      <w:szCs w:val="24"/>
    </w:rPr>
  </w:style>
  <w:style w:type="paragraph" w:customStyle="1" w:styleId="PIDachzeile">
    <w:name w:val="PI Dachzeile"/>
    <w:basedOn w:val="Normalny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Normalny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Tekstpodstawowy"/>
    <w:pPr>
      <w:spacing w:after="240" w:line="312" w:lineRule="auto"/>
    </w:pPr>
  </w:style>
  <w:style w:type="paragraph" w:customStyle="1" w:styleId="PIFlietext">
    <w:name w:val="PI Fließtext"/>
    <w:basedOn w:val="Normalny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Normalny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Normalny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character" w:customStyle="1" w:styleId="NagwekZnak">
    <w:name w:val="Nagłówek Znak"/>
    <w:link w:val="Nagwek"/>
    <w:rsid w:val="00700141"/>
    <w:rPr>
      <w:sz w:val="24"/>
      <w:szCs w:val="24"/>
    </w:rPr>
  </w:style>
  <w:style w:type="paragraph" w:styleId="Tekstdymka">
    <w:name w:val="Balloon Text"/>
    <w:basedOn w:val="Normalny"/>
    <w:link w:val="TekstdymkaZnak"/>
    <w:rsid w:val="00201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17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792"/>
    <w:pPr>
      <w:ind w:left="720"/>
      <w:contextualSpacing/>
    </w:pPr>
  </w:style>
  <w:style w:type="paragraph" w:styleId="Tekstkomentarza">
    <w:name w:val="annotation tex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Nagwek6">
    <w:name w:val="heading 6"/>
    <w:basedOn w:val="Normalny"/>
    <w:next w:val="Normalny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Tekstpodstawowywcity">
    <w:name w:val="Body Text Indent"/>
    <w:basedOn w:val="Normalny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Normalny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Tekstpodstawowy2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spacing w:after="180" w:line="312" w:lineRule="auto"/>
    </w:pPr>
    <w:rPr>
      <w:rFonts w:ascii="Arial" w:hAnsi="Arial" w:cs="Arial"/>
      <w:sz w:val="1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Nagwek8Znak">
    <w:name w:val="Nagłówek 8 Znak"/>
    <w:link w:val="Nagwek8"/>
    <w:rsid w:val="00700141"/>
    <w:rPr>
      <w:rFonts w:ascii="Arial" w:hAnsi="Arial" w:cs="Arial"/>
      <w:b/>
      <w:sz w:val="22"/>
      <w:szCs w:val="24"/>
    </w:rPr>
  </w:style>
  <w:style w:type="paragraph" w:customStyle="1" w:styleId="PIDachzeile">
    <w:name w:val="PI Dachzeile"/>
    <w:basedOn w:val="Normalny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Normalny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Tekstpodstawowy"/>
    <w:pPr>
      <w:spacing w:after="240" w:line="312" w:lineRule="auto"/>
    </w:pPr>
  </w:style>
  <w:style w:type="paragraph" w:customStyle="1" w:styleId="PIFlietext">
    <w:name w:val="PI Fließtext"/>
    <w:basedOn w:val="Normalny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Normalny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Normalny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character" w:customStyle="1" w:styleId="NagwekZnak">
    <w:name w:val="Nagłówek Znak"/>
    <w:link w:val="Nagwek"/>
    <w:rsid w:val="00700141"/>
    <w:rPr>
      <w:sz w:val="24"/>
      <w:szCs w:val="24"/>
    </w:rPr>
  </w:style>
  <w:style w:type="paragraph" w:styleId="Tekstdymka">
    <w:name w:val="Balloon Text"/>
    <w:basedOn w:val="Normalny"/>
    <w:link w:val="TekstdymkaZnak"/>
    <w:rsid w:val="00201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17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792"/>
    <w:pPr>
      <w:ind w:left="720"/>
      <w:contextualSpacing/>
    </w:pPr>
  </w:style>
  <w:style w:type="paragraph" w:styleId="Tekstkomentarza">
    <w:name w:val="annotation tex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compute.org/summit/regional-summ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Rittal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Verena Knopf</dc:creator>
  <cp:lastModifiedBy>Martyna</cp:lastModifiedBy>
  <cp:revision>31</cp:revision>
  <cp:lastPrinted>2012-01-20T10:37:00Z</cp:lastPrinted>
  <dcterms:created xsi:type="dcterms:W3CDTF">2018-11-28T10:24:00Z</dcterms:created>
  <dcterms:modified xsi:type="dcterms:W3CDTF">2019-09-02T07:50:00Z</dcterms:modified>
</cp:coreProperties>
</file>